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0" w:line="420" w:lineRule="atLeast"/>
        <w:ind w:right="0" w:firstLine="0"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b/>
          <w:color w:val="0f1115"/>
          <w:sz w:val="24"/>
          <w:szCs w:val="24"/>
        </w:rPr>
        <w:t xml:space="preserve">EL CONSEJO COMARCAL DEL BIERZO APRUEBA EL ÚLTIMO LOTE DE AYUDAS DEL PLAN DE JUNTAS VECINALES 2024-2025 CON UNA INVERSiÓN DE MÁS DE 85.000 EUROS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958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420" w:lineRule="atLeast"/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b/>
          <w:color w:val="0f1115"/>
          <w:sz w:val="20"/>
          <w:szCs w:val="20"/>
        </w:rPr>
        <w:t xml:space="preserve">Ocho juntas vecinales de la comarca se benefician de estas subvenciones para mejorar infraestructuras y servicios.</w:t>
      </w:r>
      <w:r>
        <w:rPr>
          <w:rFonts w:ascii="Calibri" w:hAnsi="Calibri" w:eastAsia="Calibri" w:cs="Calibri"/>
          <w:sz w:val="20"/>
          <w:szCs w:val="20"/>
        </w:rPr>
      </w:r>
    </w:p>
    <w:p>
      <w:pPr>
        <w:pStyle w:val="958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420" w:lineRule="atLeast"/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b/>
          <w:color w:val="0f1115"/>
          <w:sz w:val="20"/>
          <w:szCs w:val="20"/>
        </w:rPr>
        <w:t xml:space="preserve">Las actuaciones incluyen pavimentación de caminos, renovación de parques infantiles, áreas de descanso y adquisición de maquinaria.</w:t>
      </w:r>
      <w:r>
        <w:rPr>
          <w:rFonts w:ascii="Calibri" w:hAnsi="Calibri" w:eastAsia="Calibri" w:cs="Calibri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 w:line="420" w:lineRule="atLeast"/>
        <w:ind w:right="0" w:firstLine="0"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b/>
          <w:color w:val="0f1115"/>
          <w:sz w:val="20"/>
          <w:szCs w:val="20"/>
        </w:rPr>
        <w:t xml:space="preserve">Miércoles 6 de mayo de 2026.</w:t>
      </w:r>
      <w:r>
        <w:rPr>
          <w:rFonts w:ascii="Calibri" w:hAnsi="Calibri" w:eastAsia="Calibri" w:cs="Calibri"/>
          <w:color w:val="0f1115"/>
          <w:sz w:val="20"/>
          <w:szCs w:val="20"/>
        </w:rPr>
        <w:t xml:space="preserve"> La Junta de Gobierno Local del Consejo Comarcal del Bierzo ha aprobado en su reunión de hoy el octavo y último lote del Plan de Juntas Vecinales 2024-2025, correspondiente a la adjudicación de subvenciones destinadas a juntas vecinales. Este ú</w:t>
      </w:r>
      <w:r>
        <w:rPr>
          <w:rFonts w:ascii="Calibri" w:hAnsi="Calibri" w:eastAsia="Calibri" w:cs="Calibri"/>
          <w:color w:val="0f1115"/>
          <w:sz w:val="20"/>
          <w:szCs w:val="20"/>
        </w:rPr>
        <w:t xml:space="preserve">ltimo lote, que suma una inversión total de 85.838,58 euros, permitirá financiar ocho proyectos presentados por otras tantas juntas vecinales, con una subvención global concedida de 85.177,54 euros.</w:t>
      </w:r>
      <w:r>
        <w:rPr>
          <w:rFonts w:ascii="Calibri" w:hAnsi="Calibri" w:eastAsia="Calibri" w:cs="Calibri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 w:line="420" w:lineRule="atLeast"/>
        <w:ind w:right="0" w:firstLine="0"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color w:val="0f1115"/>
          <w:sz w:val="20"/>
          <w:szCs w:val="20"/>
        </w:rPr>
        <w:t xml:space="preserve">Las actuaciones aprobadas son las siguientes:</w:t>
      </w:r>
      <w:r>
        <w:rPr>
          <w:rFonts w:ascii="Calibri" w:hAnsi="Calibri" w:eastAsia="Calibri" w:cs="Calibri"/>
          <w:sz w:val="20"/>
          <w:szCs w:val="20"/>
        </w:rPr>
      </w:r>
    </w:p>
    <w:p>
      <w:pPr>
        <w:pStyle w:val="958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420" w:lineRule="atLeast"/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b/>
          <w:color w:val="0f1115"/>
          <w:sz w:val="20"/>
          <w:szCs w:val="20"/>
        </w:rPr>
        <w:t xml:space="preserve">J.V. Campelo (Arganza):</w:t>
      </w:r>
      <w:r>
        <w:rPr>
          <w:rFonts w:ascii="Calibri" w:hAnsi="Calibri" w:eastAsia="Calibri" w:cs="Calibri"/>
          <w:color w:val="0f1115"/>
          <w:sz w:val="20"/>
          <w:szCs w:val="20"/>
        </w:rPr>
        <w:t xml:space="preserve"> Mejora y pavimentación del Área Recreativa de Campelo (11.997,52 €).</w:t>
      </w:r>
      <w:r>
        <w:rPr>
          <w:rFonts w:ascii="Calibri" w:hAnsi="Calibri" w:eastAsia="Calibri" w:cs="Calibri"/>
          <w:sz w:val="20"/>
          <w:szCs w:val="20"/>
        </w:rPr>
      </w:r>
    </w:p>
    <w:p>
      <w:pPr>
        <w:pStyle w:val="958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420" w:lineRule="atLeast"/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b/>
          <w:color w:val="0f1115"/>
          <w:sz w:val="20"/>
          <w:szCs w:val="20"/>
        </w:rPr>
        <w:t xml:space="preserve">J.V. Magaz de Arriba (Arganza):</w:t>
      </w:r>
      <w:r>
        <w:rPr>
          <w:rFonts w:ascii="Calibri" w:hAnsi="Calibri" w:eastAsia="Calibri" w:cs="Calibri"/>
          <w:color w:val="0f1115"/>
          <w:sz w:val="20"/>
          <w:szCs w:val="20"/>
        </w:rPr>
        <w:t xml:space="preserve"> Pavimentación de camino vecinal (11.999,99 €).</w:t>
      </w:r>
      <w:r>
        <w:rPr>
          <w:rFonts w:ascii="Calibri" w:hAnsi="Calibri" w:eastAsia="Calibri" w:cs="Calibri"/>
          <w:sz w:val="20"/>
          <w:szCs w:val="20"/>
        </w:rPr>
      </w:r>
    </w:p>
    <w:p>
      <w:pPr>
        <w:pStyle w:val="958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420" w:lineRule="atLeast"/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b/>
          <w:color w:val="0f1115"/>
          <w:sz w:val="20"/>
          <w:szCs w:val="20"/>
        </w:rPr>
        <w:t xml:space="preserve">J.V. Villamartín de la Abadía (Carracedelo):</w:t>
      </w:r>
      <w:r>
        <w:rPr>
          <w:rFonts w:ascii="Calibri" w:hAnsi="Calibri" w:eastAsia="Calibri" w:cs="Calibri"/>
          <w:color w:val="0f1115"/>
          <w:sz w:val="20"/>
          <w:szCs w:val="20"/>
        </w:rPr>
        <w:t xml:space="preserve"> Renovación del parque infantil y señalización de la plaza La Cruz (12.000,00 € sobre un presupuesto de 12.661,04 €).</w:t>
      </w:r>
      <w:r>
        <w:rPr>
          <w:rFonts w:ascii="Calibri" w:hAnsi="Calibri" w:eastAsia="Calibri" w:cs="Calibri"/>
          <w:sz w:val="20"/>
          <w:szCs w:val="20"/>
        </w:rPr>
      </w:r>
    </w:p>
    <w:p>
      <w:pPr>
        <w:pStyle w:val="958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420" w:lineRule="atLeast"/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b/>
          <w:color w:val="0f1115"/>
          <w:sz w:val="20"/>
          <w:szCs w:val="20"/>
        </w:rPr>
        <w:t xml:space="preserve">J.V. Villarrando (Carucedo):</w:t>
      </w:r>
      <w:r>
        <w:rPr>
          <w:rFonts w:ascii="Calibri" w:hAnsi="Calibri" w:eastAsia="Calibri" w:cs="Calibri"/>
          <w:color w:val="0f1115"/>
          <w:sz w:val="20"/>
          <w:szCs w:val="20"/>
        </w:rPr>
        <w:t xml:space="preserve"> Ejecución de un área de descanso en el Barrio de Forcadas (5.700,00 €). </w:t>
      </w:r>
      <w:r>
        <w:rPr>
          <w:rFonts w:ascii="Calibri" w:hAnsi="Calibri" w:eastAsia="Calibri" w:cs="Calibri"/>
          <w:i/>
          <w:color w:val="0f1115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>
      <w:pPr>
        <w:pStyle w:val="958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420" w:lineRule="atLeast"/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b/>
          <w:color w:val="0f1115"/>
          <w:sz w:val="20"/>
          <w:szCs w:val="20"/>
        </w:rPr>
        <w:t xml:space="preserve">J.V. Tremor de Arriba (Igüeña):</w:t>
      </w:r>
      <w:r>
        <w:rPr>
          <w:rFonts w:ascii="Calibri" w:hAnsi="Calibri" w:eastAsia="Calibri" w:cs="Calibri"/>
          <w:color w:val="0f1115"/>
          <w:sz w:val="20"/>
          <w:szCs w:val="20"/>
        </w:rPr>
        <w:t xml:space="preserve"> Construcción de una pérgola (12.000,00 €).</w:t>
      </w:r>
      <w:r>
        <w:rPr>
          <w:rFonts w:ascii="Calibri" w:hAnsi="Calibri" w:eastAsia="Calibri" w:cs="Calibri"/>
          <w:sz w:val="20"/>
          <w:szCs w:val="20"/>
        </w:rPr>
      </w:r>
    </w:p>
    <w:p>
      <w:pPr>
        <w:pStyle w:val="958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420" w:lineRule="atLeast"/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b/>
          <w:color w:val="0f1115"/>
          <w:sz w:val="20"/>
          <w:szCs w:val="20"/>
        </w:rPr>
        <w:t xml:space="preserve">J.V. Villarino del Sil (Palacios del Sil):</w:t>
      </w:r>
      <w:r>
        <w:rPr>
          <w:rFonts w:ascii="Calibri" w:hAnsi="Calibri" w:eastAsia="Calibri" w:cs="Calibri"/>
          <w:color w:val="0f1115"/>
          <w:sz w:val="20"/>
          <w:szCs w:val="20"/>
        </w:rPr>
        <w:t xml:space="preserve"> Adquisición de mobiliario de oficina, trituradora, desbrozadora y motosierra (9.480,04 €).</w:t>
      </w:r>
      <w:r>
        <w:rPr>
          <w:rFonts w:ascii="Calibri" w:hAnsi="Calibri" w:eastAsia="Calibri" w:cs="Calibri"/>
          <w:sz w:val="20"/>
          <w:szCs w:val="20"/>
        </w:rPr>
      </w:r>
    </w:p>
    <w:p>
      <w:pPr>
        <w:pStyle w:val="958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420" w:lineRule="atLeast"/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b/>
          <w:color w:val="0f1115"/>
          <w:sz w:val="20"/>
          <w:szCs w:val="20"/>
        </w:rPr>
        <w:t xml:space="preserve">J.V. Villadecanes (Toral de los Vados):</w:t>
      </w:r>
      <w:r>
        <w:rPr>
          <w:rFonts w:ascii="Calibri" w:hAnsi="Calibri" w:eastAsia="Calibri" w:cs="Calibri"/>
          <w:color w:val="0f1115"/>
          <w:sz w:val="20"/>
          <w:szCs w:val="20"/>
        </w:rPr>
        <w:t xml:space="preserve"> Acondicionamiento de la planta baja de la Casa del Pueblo de Parandones (11.999,99 €).</w:t>
      </w:r>
      <w:r>
        <w:rPr>
          <w:rFonts w:ascii="Calibri" w:hAnsi="Calibri" w:eastAsia="Calibri" w:cs="Calibri"/>
          <w:sz w:val="20"/>
          <w:szCs w:val="20"/>
        </w:rPr>
      </w:r>
    </w:p>
    <w:p>
      <w:pPr>
        <w:pStyle w:val="958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420" w:lineRule="atLeast"/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b/>
          <w:color w:val="0f1115"/>
          <w:sz w:val="20"/>
          <w:szCs w:val="20"/>
        </w:rPr>
        <w:t xml:space="preserve">J.V. El Castro-Laballós (Vega de Valcarce):</w:t>
      </w:r>
      <w:r>
        <w:rPr>
          <w:rFonts w:ascii="Calibri" w:hAnsi="Calibri" w:eastAsia="Calibri" w:cs="Calibri"/>
          <w:color w:val="0f1115"/>
          <w:sz w:val="20"/>
          <w:szCs w:val="20"/>
        </w:rPr>
        <w:t xml:space="preserve"> Acondicionamiento del camino de Ribadelameira en Laballós (10.000,00 €).</w:t>
      </w:r>
      <w:r>
        <w:rPr>
          <w:rFonts w:ascii="Calibri" w:hAnsi="Calibri" w:eastAsia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Helvetica Neue">
    <w:panose1 w:val="05040102010807070707"/>
  </w:font>
  <w:font w:name="Tahoma">
    <w:panose1 w:val="020B060403050404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6"/>
      <w:pBdr/>
      <w:tabs>
        <w:tab w:val="center" w:leader="none" w:pos="4819"/>
        <w:tab w:val="clear" w:leader="none" w:pos="9020"/>
        <w:tab w:val="right" w:leader="none" w:pos="9638"/>
      </w:tabs>
      <w:spacing/>
      <w:ind/>
      <w:jc w:val="center"/>
      <w:rPr>
        <w:rFonts w:ascii="Calibri" w:hAnsi="Calibri" w:eastAsia="Calibri" w:cs="Calibri"/>
        <w:sz w:val="22"/>
        <w:szCs w:val="22"/>
        <w:lang w:val="es-ES_tradnl"/>
      </w:rPr>
    </w:pPr>
    <w:r>
      <w:rPr>
        <w:rStyle w:val="1007"/>
        <w:rFonts w:ascii="Calibri" w:hAnsi="Calibri"/>
        <w:color w:val="7f7f7f"/>
        <w:sz w:val="16"/>
        <w:szCs w:val="16"/>
      </w:rPr>
      <w:t xml:space="preserve">CONSEJO COMARCAL DE EL BIERZO – Avenida de la Minería, s/n, 24402, Ponferrada (León)</w:t>
    </w:r>
    <w:r>
      <w:rPr>
        <w:rFonts w:ascii="Calibri" w:hAnsi="Calibri" w:eastAsia="Calibri" w:cs="Calibri"/>
        <w:sz w:val="22"/>
        <w:szCs w:val="22"/>
        <w:lang w:val="es-ES_tradnl"/>
      </w:rPr>
    </w:r>
    <w:r>
      <w:rPr>
        <w:rFonts w:ascii="Calibri" w:hAnsi="Calibri" w:eastAsia="Calibri" w:cs="Calibri"/>
        <w:sz w:val="22"/>
        <w:szCs w:val="22"/>
        <w:lang w:val="es-ES_tradnl"/>
      </w:rPr>
    </w:r>
  </w:p>
  <w:p>
    <w:pPr>
      <w:pStyle w:val="1006"/>
      <w:pBdr/>
      <w:tabs>
        <w:tab w:val="left" w:leader="none" w:pos="3471"/>
        <w:tab w:val="center" w:leader="none" w:pos="4819"/>
        <w:tab w:val="clear" w:leader="none" w:pos="9020"/>
        <w:tab w:val="right" w:leader="none" w:pos="9638"/>
      </w:tabs>
      <w:spacing/>
      <w:ind/>
      <w:jc w:val="center"/>
      <w:rPr>
        <w:rFonts w:hint="eastAsia"/>
      </w:rPr>
    </w:pPr>
    <w:r>
      <w:rPr>
        <w:rStyle w:val="1007"/>
        <w:rFonts w:ascii="Calibri" w:hAnsi="Calibri"/>
        <w:color w:val="7f7f7f"/>
        <w:sz w:val="16"/>
        <w:szCs w:val="16"/>
      </w:rPr>
      <w:t xml:space="preserve">Tl 987 42 35 51 – www.ccbierzo.com</w:t>
    </w:r>
    <w:r>
      <w:rPr>
        <w:rFonts w:hint="eastAsia"/>
      </w:rPr>
    </w:r>
    <w:r>
      <w:rPr>
        <w:rFonts w:hint="eastAsia"/>
      </w:rPr>
    </w:r>
  </w:p>
  <w:p>
    <w:pPr>
      <w:pStyle w:val="99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pBdr/>
      <w:spacing/>
      <w:ind/>
      <w:rPr/>
    </w:pPr>
    <w:r/>
    <w:r/>
  </w:p>
  <w:p>
    <w:pPr>
      <w:pStyle w:val="995"/>
      <w:pBdr/>
      <w:spacing/>
      <w:ind/>
      <w:rPr/>
    </w:pPr>
    <w:r>
      <w:rPr>
        <w:lang w:eastAsia="es-E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400040" cy="864870"/>
              <wp:effectExtent l="0" t="0" r="0" b="0"/>
              <wp:docPr id="1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oBranding_Cabecera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400040" cy="8648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25.20pt;height:68.1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  <w:p>
    <w:pPr>
      <w:pStyle w:val="995"/>
      <w:pBdr/>
      <w:spacing/>
      <w:ind/>
      <w:rPr/>
    </w:pPr>
    <w:r/>
    <w:r/>
  </w:p>
  <w:p>
    <w:pPr>
      <w:pStyle w:val="995"/>
      <w:pBdr/>
      <w:spacing/>
      <w:ind/>
      <w:rPr/>
    </w:pPr>
    <w:r>
      <w:rPr>
        <w:lang w:eastAsia="es-E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29444505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304030" cy="7327265"/>
              <wp:effectExtent l="0" t="0" r="0" b="0"/>
              <wp:wrapNone/>
              <wp:docPr id="2" name="WordPictureWatermark1459889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marca_agua_NotasPrensa"/>
                      <pic:cNvPicPr/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4304030" cy="73272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4598892" o:spid="_x0000_s1" type="#_x0000_t75" style="position:absolute;z-index:-4294445056;o:allowoverlap:true;o:allowincell:false;mso-position-horizontal-relative:margin;mso-position-horizontal:center;mso-position-vertical-relative:margin;mso-position-vertical:center;width:338.90pt;height:576.9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pBdr/>
      <w:spacing/>
      <w:ind/>
      <w:rPr/>
    </w:pPr>
    <w:r>
      <w:rPr>
        <w:lang w:eastAsia="es-E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29444403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304030" cy="7327265"/>
              <wp:effectExtent l="0" t="0" r="0" b="0"/>
              <wp:wrapNone/>
              <wp:docPr id="3" name="WordPictureWatermark1459889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marca_agua_NotasPrensa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04030" cy="73272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4598891" o:spid="_x0000_s2" type="#_x0000_t75" style="position:absolute;z-index:-4294444032;o:allowoverlap:true;o:allowincell:false;mso-position-horizontal-relative:margin;mso-position-horizontal:center;mso-position-vertical-relative:margin;mso-position-vertical:center;width:338.90pt;height:576.9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pBdr/>
      <w:spacing/>
      <w:ind/>
      <w:rPr/>
    </w:pPr>
    <w:r>
      <w:rPr>
        <w:lang w:eastAsia="es-E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304030" cy="7327265"/>
              <wp:effectExtent l="0" t="0" r="0" b="0"/>
              <wp:wrapNone/>
              <wp:docPr id="4" name="WordPictureWatermark1459889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marca_agua_NotasPrensa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04030" cy="73272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4598890" o:spid="_x0000_s3" type="#_x0000_t75" style="position:absolute;z-index:-251658240;o:allowoverlap:true;o:allowincell:false;mso-position-horizontal-relative:margin;mso-position-horizontal:center;mso-position-vertical-relative:margin;mso-position-vertical:center;width:338.90pt;height:576.9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A04F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332A2B9D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9">
    <w:name w:val="Table Grid"/>
    <w:basedOn w:val="9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Table Grid Light"/>
    <w:basedOn w:val="9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1"/>
    <w:basedOn w:val="9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2"/>
    <w:basedOn w:val="9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1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2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- Accent 3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4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5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6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1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2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3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4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5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6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1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2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3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4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5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6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5">
    <w:name w:val="Heading 1"/>
    <w:basedOn w:val="990"/>
    <w:next w:val="990"/>
    <w:link w:val="94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36">
    <w:name w:val="Heading 2"/>
    <w:basedOn w:val="990"/>
    <w:next w:val="990"/>
    <w:link w:val="94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37">
    <w:name w:val="Heading 4"/>
    <w:basedOn w:val="990"/>
    <w:next w:val="990"/>
    <w:link w:val="94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38">
    <w:name w:val="Heading 5"/>
    <w:basedOn w:val="990"/>
    <w:next w:val="990"/>
    <w:link w:val="94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39">
    <w:name w:val="Heading 6"/>
    <w:basedOn w:val="990"/>
    <w:next w:val="990"/>
    <w:link w:val="94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40">
    <w:name w:val="Heading 7"/>
    <w:basedOn w:val="990"/>
    <w:next w:val="990"/>
    <w:link w:val="94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41">
    <w:name w:val="Heading 8"/>
    <w:basedOn w:val="990"/>
    <w:next w:val="990"/>
    <w:link w:val="95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42">
    <w:name w:val="Heading 9"/>
    <w:basedOn w:val="990"/>
    <w:next w:val="990"/>
    <w:link w:val="95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3">
    <w:name w:val="Heading 1 Char"/>
    <w:basedOn w:val="992"/>
    <w:link w:val="9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4">
    <w:name w:val="Heading 2 Char"/>
    <w:basedOn w:val="992"/>
    <w:link w:val="9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5">
    <w:name w:val="Heading 3 Char"/>
    <w:basedOn w:val="992"/>
    <w:link w:val="9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6">
    <w:name w:val="Heading 4 Char"/>
    <w:basedOn w:val="992"/>
    <w:link w:val="93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47">
    <w:name w:val="Heading 5 Char"/>
    <w:basedOn w:val="992"/>
    <w:link w:val="9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48">
    <w:name w:val="Heading 6 Char"/>
    <w:basedOn w:val="992"/>
    <w:link w:val="93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9">
    <w:name w:val="Heading 7 Char"/>
    <w:basedOn w:val="992"/>
    <w:link w:val="94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0">
    <w:name w:val="Heading 8 Char"/>
    <w:basedOn w:val="992"/>
    <w:link w:val="9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1">
    <w:name w:val="Heading 9 Char"/>
    <w:basedOn w:val="992"/>
    <w:link w:val="9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52">
    <w:name w:val="Title"/>
    <w:basedOn w:val="990"/>
    <w:next w:val="990"/>
    <w:link w:val="95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53">
    <w:name w:val="Title Char"/>
    <w:basedOn w:val="992"/>
    <w:link w:val="95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54">
    <w:name w:val="Subtitle"/>
    <w:basedOn w:val="990"/>
    <w:next w:val="990"/>
    <w:link w:val="95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55">
    <w:name w:val="Subtitle Char"/>
    <w:basedOn w:val="992"/>
    <w:link w:val="95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6">
    <w:name w:val="Quote"/>
    <w:basedOn w:val="990"/>
    <w:next w:val="990"/>
    <w:link w:val="95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7">
    <w:name w:val="Quote Char"/>
    <w:basedOn w:val="992"/>
    <w:link w:val="95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58">
    <w:name w:val="List Paragraph"/>
    <w:basedOn w:val="990"/>
    <w:uiPriority w:val="34"/>
    <w:qFormat/>
    <w:pPr>
      <w:pBdr/>
      <w:spacing/>
      <w:ind w:left="720"/>
      <w:contextualSpacing w:val="true"/>
    </w:pPr>
  </w:style>
  <w:style w:type="character" w:styleId="959">
    <w:name w:val="Intense Emphasis"/>
    <w:basedOn w:val="99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60">
    <w:name w:val="Intense Quote"/>
    <w:basedOn w:val="990"/>
    <w:next w:val="990"/>
    <w:link w:val="96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61">
    <w:name w:val="Intense Quote Char"/>
    <w:basedOn w:val="992"/>
    <w:link w:val="96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62">
    <w:name w:val="Intense Reference"/>
    <w:basedOn w:val="99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63">
    <w:name w:val="No Spacing"/>
    <w:basedOn w:val="990"/>
    <w:uiPriority w:val="1"/>
    <w:qFormat/>
    <w:pPr>
      <w:pBdr/>
      <w:spacing w:after="0" w:line="240" w:lineRule="auto"/>
      <w:ind/>
    </w:pPr>
  </w:style>
  <w:style w:type="character" w:styleId="964">
    <w:name w:val="Subtle Emphasis"/>
    <w:basedOn w:val="9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5">
    <w:name w:val="Emphasis"/>
    <w:basedOn w:val="992"/>
    <w:uiPriority w:val="20"/>
    <w:qFormat/>
    <w:pPr>
      <w:pBdr/>
      <w:spacing/>
      <w:ind/>
    </w:pPr>
    <w:rPr>
      <w:i/>
      <w:iCs/>
    </w:rPr>
  </w:style>
  <w:style w:type="character" w:styleId="966">
    <w:name w:val="Strong"/>
    <w:basedOn w:val="992"/>
    <w:uiPriority w:val="22"/>
    <w:qFormat/>
    <w:pPr>
      <w:pBdr/>
      <w:spacing/>
      <w:ind/>
    </w:pPr>
    <w:rPr>
      <w:b/>
      <w:bCs/>
    </w:rPr>
  </w:style>
  <w:style w:type="character" w:styleId="967">
    <w:name w:val="Subtle Reference"/>
    <w:basedOn w:val="9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8">
    <w:name w:val="Book Title"/>
    <w:basedOn w:val="99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69">
    <w:name w:val="Header Char"/>
    <w:basedOn w:val="992"/>
    <w:link w:val="995"/>
    <w:uiPriority w:val="99"/>
    <w:pPr>
      <w:pBdr/>
      <w:spacing/>
      <w:ind/>
    </w:pPr>
  </w:style>
  <w:style w:type="character" w:styleId="970">
    <w:name w:val="Footer Char"/>
    <w:basedOn w:val="992"/>
    <w:link w:val="997"/>
    <w:uiPriority w:val="99"/>
    <w:pPr>
      <w:pBdr/>
      <w:spacing/>
      <w:ind/>
    </w:pPr>
  </w:style>
  <w:style w:type="paragraph" w:styleId="971">
    <w:name w:val="Caption"/>
    <w:basedOn w:val="990"/>
    <w:next w:val="99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72">
    <w:name w:val="footnote text"/>
    <w:basedOn w:val="990"/>
    <w:link w:val="9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3">
    <w:name w:val="Footnote Text Char"/>
    <w:basedOn w:val="992"/>
    <w:link w:val="972"/>
    <w:uiPriority w:val="99"/>
    <w:semiHidden/>
    <w:pPr>
      <w:pBdr/>
      <w:spacing/>
      <w:ind/>
    </w:pPr>
    <w:rPr>
      <w:sz w:val="20"/>
      <w:szCs w:val="20"/>
    </w:rPr>
  </w:style>
  <w:style w:type="character" w:styleId="974">
    <w:name w:val="footnote reference"/>
    <w:basedOn w:val="992"/>
    <w:uiPriority w:val="99"/>
    <w:semiHidden/>
    <w:unhideWhenUsed/>
    <w:pPr>
      <w:pBdr/>
      <w:spacing/>
      <w:ind/>
    </w:pPr>
    <w:rPr>
      <w:vertAlign w:val="superscript"/>
    </w:rPr>
  </w:style>
  <w:style w:type="character" w:styleId="975">
    <w:name w:val="Endnote Text Char"/>
    <w:basedOn w:val="992"/>
    <w:link w:val="999"/>
    <w:uiPriority w:val="99"/>
    <w:semiHidden/>
    <w:pPr>
      <w:pBdr/>
      <w:spacing/>
      <w:ind/>
    </w:pPr>
    <w:rPr>
      <w:sz w:val="20"/>
      <w:szCs w:val="20"/>
    </w:rPr>
  </w:style>
  <w:style w:type="character" w:styleId="976">
    <w:name w:val="Hyperlink"/>
    <w:basedOn w:val="99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7">
    <w:name w:val="FollowedHyperlink"/>
    <w:basedOn w:val="99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8">
    <w:name w:val="toc 1"/>
    <w:basedOn w:val="990"/>
    <w:next w:val="990"/>
    <w:uiPriority w:val="39"/>
    <w:unhideWhenUsed/>
    <w:pPr>
      <w:pBdr/>
      <w:spacing w:after="100"/>
      <w:ind/>
    </w:pPr>
  </w:style>
  <w:style w:type="paragraph" w:styleId="979">
    <w:name w:val="toc 2"/>
    <w:basedOn w:val="990"/>
    <w:next w:val="990"/>
    <w:uiPriority w:val="39"/>
    <w:unhideWhenUsed/>
    <w:pPr>
      <w:pBdr/>
      <w:spacing w:after="100"/>
      <w:ind w:left="220"/>
    </w:pPr>
  </w:style>
  <w:style w:type="paragraph" w:styleId="980">
    <w:name w:val="toc 3"/>
    <w:basedOn w:val="990"/>
    <w:next w:val="990"/>
    <w:uiPriority w:val="39"/>
    <w:unhideWhenUsed/>
    <w:pPr>
      <w:pBdr/>
      <w:spacing w:after="100"/>
      <w:ind w:left="440"/>
    </w:pPr>
  </w:style>
  <w:style w:type="paragraph" w:styleId="981">
    <w:name w:val="toc 4"/>
    <w:basedOn w:val="990"/>
    <w:next w:val="990"/>
    <w:uiPriority w:val="39"/>
    <w:unhideWhenUsed/>
    <w:pPr>
      <w:pBdr/>
      <w:spacing w:after="100"/>
      <w:ind w:left="660"/>
    </w:pPr>
  </w:style>
  <w:style w:type="paragraph" w:styleId="982">
    <w:name w:val="toc 5"/>
    <w:basedOn w:val="990"/>
    <w:next w:val="990"/>
    <w:uiPriority w:val="39"/>
    <w:unhideWhenUsed/>
    <w:pPr>
      <w:pBdr/>
      <w:spacing w:after="100"/>
      <w:ind w:left="880"/>
    </w:pPr>
  </w:style>
  <w:style w:type="paragraph" w:styleId="983">
    <w:name w:val="toc 6"/>
    <w:basedOn w:val="990"/>
    <w:next w:val="990"/>
    <w:uiPriority w:val="39"/>
    <w:unhideWhenUsed/>
    <w:pPr>
      <w:pBdr/>
      <w:spacing w:after="100"/>
      <w:ind w:left="1100"/>
    </w:pPr>
  </w:style>
  <w:style w:type="paragraph" w:styleId="984">
    <w:name w:val="toc 7"/>
    <w:basedOn w:val="990"/>
    <w:next w:val="990"/>
    <w:uiPriority w:val="39"/>
    <w:unhideWhenUsed/>
    <w:pPr>
      <w:pBdr/>
      <w:spacing w:after="100"/>
      <w:ind w:left="1320"/>
    </w:pPr>
  </w:style>
  <w:style w:type="paragraph" w:styleId="985">
    <w:name w:val="toc 8"/>
    <w:basedOn w:val="990"/>
    <w:next w:val="990"/>
    <w:uiPriority w:val="39"/>
    <w:unhideWhenUsed/>
    <w:pPr>
      <w:pBdr/>
      <w:spacing w:after="100"/>
      <w:ind w:left="1540"/>
    </w:pPr>
  </w:style>
  <w:style w:type="paragraph" w:styleId="986">
    <w:name w:val="toc 9"/>
    <w:basedOn w:val="990"/>
    <w:next w:val="990"/>
    <w:uiPriority w:val="39"/>
    <w:unhideWhenUsed/>
    <w:pPr>
      <w:pBdr/>
      <w:spacing w:after="100"/>
      <w:ind w:left="1760"/>
    </w:pPr>
  </w:style>
  <w:style w:type="character" w:styleId="987">
    <w:name w:val="Placeholder Text"/>
    <w:basedOn w:val="992"/>
    <w:uiPriority w:val="99"/>
    <w:semiHidden/>
    <w:pPr>
      <w:pBdr/>
      <w:spacing/>
      <w:ind/>
    </w:pPr>
    <w:rPr>
      <w:color w:val="666666"/>
    </w:rPr>
  </w:style>
  <w:style w:type="paragraph" w:styleId="988">
    <w:name w:val="TOC Heading"/>
    <w:uiPriority w:val="39"/>
    <w:unhideWhenUsed/>
    <w:pPr>
      <w:pBdr/>
      <w:spacing/>
      <w:ind/>
    </w:pPr>
  </w:style>
  <w:style w:type="paragraph" w:styleId="989">
    <w:name w:val="table of figures"/>
    <w:basedOn w:val="990"/>
    <w:next w:val="990"/>
    <w:uiPriority w:val="99"/>
    <w:unhideWhenUsed/>
    <w:pPr>
      <w:pBdr/>
      <w:spacing w:after="0" w:afterAutospacing="0"/>
      <w:ind/>
    </w:pPr>
  </w:style>
  <w:style w:type="paragraph" w:styleId="990" w:default="1">
    <w:name w:val="Normal"/>
    <w:qFormat/>
    <w:pPr>
      <w:pBdr/>
      <w:spacing/>
      <w:ind/>
    </w:pPr>
  </w:style>
  <w:style w:type="paragraph" w:styleId="991">
    <w:name w:val="Heading 3"/>
    <w:basedOn w:val="990"/>
    <w:link w:val="1002"/>
    <w:uiPriority w:val="9"/>
    <w:qFormat/>
    <w:pPr>
      <w:pBdr/>
      <w:spacing w:after="100" w:afterAutospacing="1" w:before="100" w:beforeAutospacing="1" w:line="240" w:lineRule="auto"/>
      <w:ind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s-ES"/>
    </w:rPr>
  </w:style>
  <w:style w:type="character" w:styleId="992" w:default="1">
    <w:name w:val="Default Paragraph Font"/>
    <w:uiPriority w:val="1"/>
    <w:semiHidden/>
    <w:unhideWhenUsed/>
    <w:pPr>
      <w:pBdr/>
      <w:spacing/>
      <w:ind/>
    </w:pPr>
  </w:style>
  <w:style w:type="table" w:styleId="99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94" w:default="1">
    <w:name w:val="No List"/>
    <w:uiPriority w:val="99"/>
    <w:semiHidden/>
    <w:unhideWhenUsed/>
    <w:pPr>
      <w:pBdr/>
      <w:spacing/>
      <w:ind/>
    </w:pPr>
  </w:style>
  <w:style w:type="paragraph" w:styleId="995">
    <w:name w:val="Header"/>
    <w:basedOn w:val="990"/>
    <w:link w:val="996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996" w:customStyle="1">
    <w:name w:val="Encabezado Car"/>
    <w:basedOn w:val="992"/>
    <w:link w:val="995"/>
    <w:uiPriority w:val="99"/>
    <w:pPr>
      <w:pBdr/>
      <w:spacing/>
      <w:ind/>
    </w:pPr>
  </w:style>
  <w:style w:type="paragraph" w:styleId="997">
    <w:name w:val="Footer"/>
    <w:basedOn w:val="990"/>
    <w:link w:val="998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998" w:customStyle="1">
    <w:name w:val="Pie de página Car"/>
    <w:basedOn w:val="992"/>
    <w:link w:val="997"/>
    <w:uiPriority w:val="99"/>
    <w:pPr>
      <w:pBdr/>
      <w:spacing/>
      <w:ind/>
    </w:pPr>
  </w:style>
  <w:style w:type="paragraph" w:styleId="999">
    <w:name w:val="endnote text"/>
    <w:basedOn w:val="990"/>
    <w:link w:val="100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0" w:customStyle="1">
    <w:name w:val="Texto nota al final Car"/>
    <w:basedOn w:val="992"/>
    <w:link w:val="999"/>
    <w:uiPriority w:val="99"/>
    <w:semiHidden/>
    <w:pPr>
      <w:pBdr/>
      <w:spacing/>
      <w:ind/>
    </w:pPr>
    <w:rPr>
      <w:sz w:val="20"/>
      <w:szCs w:val="20"/>
    </w:rPr>
  </w:style>
  <w:style w:type="character" w:styleId="1001">
    <w:name w:val="endnote reference"/>
    <w:basedOn w:val="992"/>
    <w:uiPriority w:val="99"/>
    <w:semiHidden/>
    <w:unhideWhenUsed/>
    <w:pPr>
      <w:pBdr/>
      <w:spacing/>
      <w:ind/>
    </w:pPr>
    <w:rPr>
      <w:vertAlign w:val="superscript"/>
    </w:rPr>
  </w:style>
  <w:style w:type="character" w:styleId="1002" w:customStyle="1">
    <w:name w:val="Título 3 Car"/>
    <w:basedOn w:val="992"/>
    <w:link w:val="991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27"/>
      <w:szCs w:val="27"/>
      <w:lang w:eastAsia="es-ES"/>
    </w:rPr>
  </w:style>
  <w:style w:type="paragraph" w:styleId="1003">
    <w:name w:val="Normal (Web)"/>
    <w:basedOn w:val="990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1004">
    <w:name w:val="Balloon Text"/>
    <w:basedOn w:val="990"/>
    <w:link w:val="1005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05" w:customStyle="1">
    <w:name w:val="Texto de globo Car"/>
    <w:basedOn w:val="992"/>
    <w:link w:val="100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06" w:customStyle="1">
    <w:name w:val="Cabecera y pi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right" w:leader="none" w:pos="9020"/>
      </w:tabs>
      <w:spacing w:after="0" w:line="240" w:lineRule="auto"/>
      <w:ind/>
    </w:pPr>
    <w:rPr>
      <w:rFonts w:ascii="Helvetica Neue" w:hAnsi="Helvetica Neue" w:eastAsia="Arial Unicode MS" w:cs="Arial Unicode MS"/>
      <w:color w:val="000000"/>
      <w:sz w:val="24"/>
      <w:szCs w:val="24"/>
      <w:lang w:eastAsia="es-ES"/>
      <w14:textOutline w14:w="0" w14:cap="flat" w14:cmpd="sng" w14:algn="ctr">
        <w14:noFill/>
        <w14:prstDash w14:val="solid"/>
        <w14:bevel/>
      </w14:textOutline>
    </w:rPr>
  </w:style>
  <w:style w:type="character" w:styleId="1007" w:customStyle="1">
    <w:name w:val="Ninguno"/>
    <w:pPr>
      <w:pBdr/>
      <w:spacing/>
      <w:ind/>
    </w:pPr>
    <w:rPr>
      <w:lang w:val="es-ES_tradn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B922C-4740-4FD8-B199-2FAAA5878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revision>6</cp:revision>
  <dcterms:created xsi:type="dcterms:W3CDTF">2025-06-09T06:39:00Z</dcterms:created>
  <dcterms:modified xsi:type="dcterms:W3CDTF">2026-05-06T07:17:38Z</dcterms:modified>
</cp:coreProperties>
</file>