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0"/>
        <w:ind w:right="0" w:firstLine="0" w:left="0"/>
        <w:rPr>
          <w:sz w:val="32"/>
          <w:szCs w:val="32"/>
        </w:rPr>
      </w:pPr>
      <w:r>
        <w:rPr>
          <w:rFonts w:ascii="Arial" w:hAnsi="Arial" w:eastAsia="Arial" w:cs="Arial"/>
          <w:b/>
          <w:color w:val="0f1115"/>
          <w:sz w:val="32"/>
          <w:szCs w:val="32"/>
        </w:rPr>
        <w:t xml:space="preserve">El Consejo Comarcal del Bierzo aprueba el Lote VII del Plan de Juntas Vecinales 2024-2025 con una inversión de más de 93.000 euros</w:t>
      </w:r>
      <w:r>
        <w:rPr>
          <w:sz w:val="32"/>
          <w:szCs w:val="32"/>
        </w:rPr>
      </w:r>
    </w:p>
    <w:p>
      <w:pPr>
        <w:pStyle w:val="986"/>
        <w:numPr>
          <w:ilvl w:val="0"/>
          <w:numId w:val="1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Ocho juntas vecinales de la comarca se beneficiarán de estas ayudas para la ejecución de mejoras en infraestructuras y servicios públicos.</w:t>
      </w:r>
      <w:r/>
    </w:p>
    <w:p>
      <w:pPr>
        <w:pStyle w:val="986"/>
        <w:numPr>
          <w:ilvl w:val="0"/>
          <w:numId w:val="1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Las actuaciones incluyen desde pavimentación de caminos hasta rehabilitación de edificios y mejora de abastecimiento de agua.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Viernes, 14 de abril de 2026.</w:t>
      </w:r>
      <w:r>
        <w:rPr>
          <w:rFonts w:ascii="Arial" w:hAnsi="Arial" w:eastAsia="Arial" w:cs="Arial"/>
          <w:color w:val="0f1115"/>
          <w:sz w:val="24"/>
        </w:rPr>
        <w:t xml:space="preserve"> – La Junta de Gobierno del Consejo Comarcal del Bierzo ha dado luz verde este viernes a la adjudicación del </w:t>
      </w:r>
      <w:r>
        <w:rPr>
          <w:rFonts w:ascii="Arial" w:hAnsi="Arial" w:eastAsia="Arial" w:cs="Arial"/>
          <w:b/>
          <w:color w:val="0f1115"/>
          <w:sz w:val="24"/>
        </w:rPr>
        <w:t xml:space="preserve">Lote VII del Plan de Juntas Vecinales 2024-2025</w:t>
      </w:r>
      <w:r>
        <w:rPr>
          <w:rFonts w:ascii="Arial" w:hAnsi="Arial" w:eastAsia="Arial" w:cs="Arial"/>
          <w:color w:val="0f1115"/>
          <w:sz w:val="24"/>
        </w:rPr>
        <w:t xml:space="preserve">, que destina un total de </w:t>
      </w:r>
      <w:r>
        <w:rPr>
          <w:rFonts w:ascii="Arial" w:hAnsi="Arial" w:eastAsia="Arial" w:cs="Arial"/>
          <w:b/>
          <w:color w:val="0f1115"/>
          <w:sz w:val="24"/>
        </w:rPr>
        <w:t xml:space="preserve">93.918,07 euros</w:t>
      </w:r>
      <w:r>
        <w:rPr>
          <w:rFonts w:ascii="Arial" w:hAnsi="Arial" w:eastAsia="Arial" w:cs="Arial"/>
          <w:color w:val="0f1115"/>
          <w:sz w:val="24"/>
        </w:rPr>
        <w:t xml:space="preserve"> a ocho entidades locales menores de la comarca.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Esta nueva remesa de subvenciones permitirá acometer actuaciones clave en distintos núcleos poblacionales, mejorando la calidad de vida de los vecinos y vecinas. La inversión total valorada de l</w:t>
      </w:r>
      <w:r>
        <w:rPr>
          <w:rFonts w:ascii="Arial" w:hAnsi="Arial" w:eastAsia="Arial" w:cs="Arial"/>
          <w:color w:val="0f1115"/>
          <w:sz w:val="24"/>
        </w:rPr>
        <w:t xml:space="preserve">os proyectos asciende a </w:t>
      </w:r>
      <w:r>
        <w:rPr>
          <w:rFonts w:ascii="Arial" w:hAnsi="Arial" w:eastAsia="Arial" w:cs="Arial"/>
          <w:b/>
          <w:color w:val="0f1115"/>
          <w:sz w:val="24"/>
        </w:rPr>
        <w:t xml:space="preserve">101.704,21 euros</w:t>
      </w:r>
      <w:r>
        <w:rPr>
          <w:rFonts w:ascii="Arial" w:hAnsi="Arial" w:eastAsia="Arial" w:cs="Arial"/>
          <w:color w:val="0f1115"/>
          <w:sz w:val="24"/>
        </w:rPr>
        <w:t xml:space="preserve">, siendo subvencionada en su práctica totalidad por el ente comarcal.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Proyectos subvencionados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Las ayudas se distribuyen de la siguiente manera:</w:t>
      </w:r>
      <w:r/>
    </w:p>
    <w:tbl>
      <w:tblPr>
        <w:tblStyle w:val="837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2067"/>
        <w:gridCol w:w="2089"/>
        <w:gridCol w:w="4800"/>
        <w:gridCol w:w="1260"/>
      </w:tblGrid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b/>
                <w:color w:val="000000"/>
                <w:sz w:val="23"/>
              </w:rPr>
              <w:t xml:space="preserve">Municipio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b/>
                <w:color w:val="000000"/>
                <w:sz w:val="23"/>
              </w:rPr>
              <w:t xml:space="preserve">Entidad Local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b/>
                <w:color w:val="000000"/>
                <w:sz w:val="23"/>
              </w:rPr>
              <w:t xml:space="preserve">Actuación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b/>
                <w:color w:val="000000"/>
                <w:sz w:val="23"/>
              </w:rPr>
              <w:t xml:space="preserve">Subvención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Arganza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Canedo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Pavimentación del camino San Martín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12.000,00 €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Cubillos del Sil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Finolledo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Renovación de pavimentos en el Área Recreativa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12.000,00 €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Igüeña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Espina de Tremor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Instalación de pérgola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10.000,00 €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Molinaseca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Onamio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Adecuación fuente pública e instalación de clorador en depósito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12.000,00 €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Páramo del Sil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Anllarinos del Sil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Mejoras en depósito de agua potable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9.918,07 €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Ponferrada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Columbrianos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Ampliación de caseta y carpintería metálica en edificio de usos múltiples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14.000,00 €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Torre del Bierzo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Torre del Bierzo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Demolición y nueva cubrición de la cubierta de la Casa del Pueblo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14.000,00 €</w:t>
            </w:r>
            <w:r/>
          </w:p>
        </w:tc>
      </w:tr>
      <w:tr>
        <w:trPr/>
        <w:tc>
          <w:tcPr>
            <w:tcBorders>
              <w:bottom w:val="single" w:color="000000" w:sz="6" w:space="0"/>
            </w:tcBorders>
            <w:tcMar>
              <w:left w:w="0" w:type="dxa"/>
              <w:top w:w="150" w:type="dxa"/>
              <w:right w:w="240" w:type="dxa"/>
              <w:bottom w:w="150" w:type="dxa"/>
            </w:tcMar>
            <w:tcW w:w="2067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Villafranca del Bierzo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2089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J.V. Veguellina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240" w:type="dxa"/>
              <w:bottom w:w="150" w:type="dxa"/>
            </w:tcMar>
            <w:tcW w:w="480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Rehabilitación del edificio de las antiguas escuelas</w:t>
            </w:r>
            <w:r/>
          </w:p>
        </w:tc>
        <w:tc>
          <w:tcPr>
            <w:tcBorders>
              <w:bottom w:val="single" w:color="000000" w:sz="6" w:space="0"/>
            </w:tcBorders>
            <w:tcMar>
              <w:left w:w="240" w:type="dxa"/>
              <w:top w:w="150" w:type="dxa"/>
              <w:right w:w="0" w:type="dxa"/>
              <w:bottom w:w="150" w:type="dxa"/>
            </w:tcMar>
            <w:tcW w:w="1260" w:type="dxa"/>
            <w:vAlign w:val="center"/>
            <w:textDirection w:val="lrTb"/>
            <w:noWrap w:val="false"/>
          </w:tcPr>
          <w:p>
            <w:pPr>
              <w:pBdr/>
              <w:spacing w:after="0" w:before="0" w:line="240"/>
              <w:ind/>
              <w:rPr/>
            </w:pPr>
            <w:r>
              <w:rPr>
                <w:rFonts w:ascii="Arial" w:hAnsi="Arial" w:eastAsia="Arial" w:cs="Arial"/>
                <w:color w:val="000000"/>
                <w:sz w:val="23"/>
              </w:rPr>
              <w:t xml:space="preserve">10.000,00 €</w:t>
            </w:r>
            <w:r/>
          </w:p>
        </w:tc>
      </w:tr>
    </w:tbl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La resolución completa se publicará en los próximos días en el Boletín Oficial de la Provincia (BOP) de León.</w:t>
      </w:r>
      <w:r/>
    </w:p>
    <w:p>
      <w:pPr>
        <w:pBdr/>
        <w:spacing/>
        <w:ind/>
        <w:rPr/>
      </w:pPr>
      <w:r/>
      <w:r/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3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3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3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3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102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23"/>
      <w:pBdr/>
      <w:spacing/>
      <w:ind/>
      <w:rPr/>
    </w:pPr>
    <w:r/>
    <w:r/>
  </w:p>
  <w:p>
    <w:pPr>
      <w:pStyle w:val="102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1023"/>
      <w:pBdr/>
      <w:spacing/>
      <w:ind/>
      <w:rPr/>
    </w:pPr>
    <w:r/>
    <w:r/>
  </w:p>
  <w:p>
    <w:pPr>
      <w:pStyle w:val="102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2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2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F86BF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2A16228A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">
    <w:nsid w:val="2351392A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3">
    <w:nsid w:val="05D3381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4">
    <w:nsid w:val="63BFC88A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5">
    <w:nsid w:val="7E78283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6">
    <w:nsid w:val="40C44BBA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7">
    <w:nsid w:val="4FC702E2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8">
    <w:nsid w:val="7DEA4FE5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9">
    <w:nsid w:val="0154696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0">
    <w:nsid w:val="3877968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1">
    <w:nsid w:val="62BD3EB7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2">
    <w:nsid w:val="354EE9DF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3">
    <w:nsid w:val="2EB077F2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4">
    <w:nsid w:val="74910F9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5">
    <w:nsid w:val="7B788C8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37">
    <w:name w:val="Table Grid"/>
    <w:basedOn w:val="10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Table Grid Light"/>
    <w:basedOn w:val="10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Plain Table 1"/>
    <w:basedOn w:val="10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Plain Table 2"/>
    <w:basedOn w:val="10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Plain Table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Plain Table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Plain Table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1 Light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1 Light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1 Light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1 Light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1 Light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1 Light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1 Light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2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2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2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2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2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2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3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3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3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3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3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3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4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4 - Accent 1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4 - Accent 2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4 - Accent 3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Grid Table 4 - Accent 4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Grid Table 4 - Accent 5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Grid Table 4 - Accent 6"/>
    <w:basedOn w:val="10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Grid Table 5 Dark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Grid Table 5 Dark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Grid Table 5 Dark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Grid Table 5 Dark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Grid Table 5 Dark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Grid Table 5 Dark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Grid Table 5 Dark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Grid Table 6 Colorful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Grid Table 6 Colorful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Grid Table 6 Colorful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Grid Table 6 Colorful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Grid Table 6 Colorful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Grid Table 6 Colorful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Grid Table 6 Colorful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Grid Table 7 Colorful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Grid Table 7 Colorful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Grid Table 7 Colorful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Grid Table 7 Colorful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Grid Table 7 Colorful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Grid Table 7 Colorful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Grid Table 7 Colorful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1 Light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1 Light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1 Light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1 Light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1 Light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1 Light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1 Light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2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2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2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2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2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2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3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3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3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3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3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3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4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4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4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st Table 4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st Table 4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st Table 4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st Table 5 Dark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st Table 5 Dark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st Table 5 Dark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st Table 5 Dark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List Table 5 Dark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List Table 5 Dark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List Table 5 Dark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List Table 6 Colorful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List Table 6 Colorful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List Table 6 Colorful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List Table 6 Colorful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List Table 6 Colorful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List Table 6 Colorful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List Table 6 Colorful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List Table 7 Colorful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List Table 7 Colorful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List Table 7 Colorful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List Table 7 Colorful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9">
    <w:name w:val="List Table 7 Colorful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0">
    <w:name w:val="List Table 7 Colorful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1">
    <w:name w:val="List Table 7 Colorful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2">
    <w:name w:val="Lined - Accent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3">
    <w:name w:val="Lined - Accent 1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4">
    <w:name w:val="Lined - Accent 2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5">
    <w:name w:val="Lined - Accent 3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6">
    <w:name w:val="Lined - Accent 4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7">
    <w:name w:val="Lined - Accent 5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8">
    <w:name w:val="Lined - Accent 6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9">
    <w:name w:val="Bordered &amp; Lined - Accent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0">
    <w:name w:val="Bordered &amp; Lined - Accent 1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1">
    <w:name w:val="Bordered &amp; Lined - Accent 2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2">
    <w:name w:val="Bordered &amp; Lined - Accent 3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3">
    <w:name w:val="Bordered &amp; Lined - Accent 4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4">
    <w:name w:val="Bordered &amp; Lined - Accent 5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5">
    <w:name w:val="Bordered &amp; Lined - Accent 6"/>
    <w:basedOn w:val="10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6">
    <w:name w:val="Bordered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7">
    <w:name w:val="Bordered - Accent 1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8">
    <w:name w:val="Bordered - Accent 2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9">
    <w:name w:val="Bordered - Accent 3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0">
    <w:name w:val="Bordered - Accent 4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1">
    <w:name w:val="Bordered - Accent 5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2">
    <w:name w:val="Bordered - Accent 6"/>
    <w:basedOn w:val="10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63">
    <w:name w:val="Heading 1"/>
    <w:basedOn w:val="1018"/>
    <w:next w:val="1018"/>
    <w:link w:val="97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64">
    <w:name w:val="Heading 2"/>
    <w:basedOn w:val="1018"/>
    <w:next w:val="1018"/>
    <w:link w:val="97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65">
    <w:name w:val="Heading 4"/>
    <w:basedOn w:val="1018"/>
    <w:next w:val="1018"/>
    <w:link w:val="97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66">
    <w:name w:val="Heading 5"/>
    <w:basedOn w:val="1018"/>
    <w:next w:val="1018"/>
    <w:link w:val="97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67">
    <w:name w:val="Heading 6"/>
    <w:basedOn w:val="1018"/>
    <w:next w:val="1018"/>
    <w:link w:val="97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68">
    <w:name w:val="Heading 7"/>
    <w:basedOn w:val="1018"/>
    <w:next w:val="1018"/>
    <w:link w:val="97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69">
    <w:name w:val="Heading 8"/>
    <w:basedOn w:val="1018"/>
    <w:next w:val="1018"/>
    <w:link w:val="97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70">
    <w:name w:val="Heading 9"/>
    <w:basedOn w:val="1018"/>
    <w:next w:val="1018"/>
    <w:link w:val="97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71">
    <w:name w:val="Heading 1 Char"/>
    <w:basedOn w:val="1020"/>
    <w:link w:val="96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72">
    <w:name w:val="Heading 2 Char"/>
    <w:basedOn w:val="1020"/>
    <w:link w:val="96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73">
    <w:name w:val="Heading 3 Char"/>
    <w:basedOn w:val="1020"/>
    <w:link w:val="101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74">
    <w:name w:val="Heading 4 Char"/>
    <w:basedOn w:val="1020"/>
    <w:link w:val="96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75">
    <w:name w:val="Heading 5 Char"/>
    <w:basedOn w:val="1020"/>
    <w:link w:val="96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76">
    <w:name w:val="Heading 6 Char"/>
    <w:basedOn w:val="1020"/>
    <w:link w:val="96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77">
    <w:name w:val="Heading 7 Char"/>
    <w:basedOn w:val="1020"/>
    <w:link w:val="96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78">
    <w:name w:val="Heading 8 Char"/>
    <w:basedOn w:val="1020"/>
    <w:link w:val="96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79">
    <w:name w:val="Heading 9 Char"/>
    <w:basedOn w:val="1020"/>
    <w:link w:val="97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80">
    <w:name w:val="Title"/>
    <w:basedOn w:val="1018"/>
    <w:next w:val="1018"/>
    <w:link w:val="98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81">
    <w:name w:val="Title Char"/>
    <w:basedOn w:val="1020"/>
    <w:link w:val="98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82">
    <w:name w:val="Subtitle"/>
    <w:basedOn w:val="1018"/>
    <w:next w:val="1018"/>
    <w:link w:val="98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83">
    <w:name w:val="Subtitle Char"/>
    <w:basedOn w:val="1020"/>
    <w:link w:val="98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84">
    <w:name w:val="Quote"/>
    <w:basedOn w:val="1018"/>
    <w:next w:val="1018"/>
    <w:link w:val="98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85">
    <w:name w:val="Quote Char"/>
    <w:basedOn w:val="1020"/>
    <w:link w:val="98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86">
    <w:name w:val="List Paragraph"/>
    <w:basedOn w:val="1018"/>
    <w:uiPriority w:val="34"/>
    <w:qFormat/>
    <w:pPr>
      <w:pBdr/>
      <w:spacing/>
      <w:ind w:left="720"/>
      <w:contextualSpacing w:val="true"/>
    </w:pPr>
  </w:style>
  <w:style w:type="character" w:styleId="987">
    <w:name w:val="Intense Emphasis"/>
    <w:basedOn w:val="102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88">
    <w:name w:val="Intense Quote"/>
    <w:basedOn w:val="1018"/>
    <w:next w:val="1018"/>
    <w:link w:val="98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89">
    <w:name w:val="Intense Quote Char"/>
    <w:basedOn w:val="1020"/>
    <w:link w:val="98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90">
    <w:name w:val="Intense Reference"/>
    <w:basedOn w:val="102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91">
    <w:name w:val="No Spacing"/>
    <w:basedOn w:val="1018"/>
    <w:uiPriority w:val="1"/>
    <w:qFormat/>
    <w:pPr>
      <w:pBdr/>
      <w:spacing w:after="0" w:line="240" w:lineRule="auto"/>
      <w:ind/>
    </w:pPr>
  </w:style>
  <w:style w:type="character" w:styleId="992">
    <w:name w:val="Subtle Emphasis"/>
    <w:basedOn w:val="102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93">
    <w:name w:val="Emphasis"/>
    <w:basedOn w:val="1020"/>
    <w:uiPriority w:val="20"/>
    <w:qFormat/>
    <w:pPr>
      <w:pBdr/>
      <w:spacing/>
      <w:ind/>
    </w:pPr>
    <w:rPr>
      <w:i/>
      <w:iCs/>
    </w:rPr>
  </w:style>
  <w:style w:type="character" w:styleId="994">
    <w:name w:val="Strong"/>
    <w:basedOn w:val="1020"/>
    <w:uiPriority w:val="22"/>
    <w:qFormat/>
    <w:pPr>
      <w:pBdr/>
      <w:spacing/>
      <w:ind/>
    </w:pPr>
    <w:rPr>
      <w:b/>
      <w:bCs/>
    </w:rPr>
  </w:style>
  <w:style w:type="character" w:styleId="995">
    <w:name w:val="Subtle Reference"/>
    <w:basedOn w:val="102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96">
    <w:name w:val="Book Title"/>
    <w:basedOn w:val="102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97">
    <w:name w:val="Header Char"/>
    <w:basedOn w:val="1020"/>
    <w:link w:val="1023"/>
    <w:uiPriority w:val="99"/>
    <w:pPr>
      <w:pBdr/>
      <w:spacing/>
      <w:ind/>
    </w:pPr>
  </w:style>
  <w:style w:type="character" w:styleId="998">
    <w:name w:val="Footer Char"/>
    <w:basedOn w:val="1020"/>
    <w:link w:val="1025"/>
    <w:uiPriority w:val="99"/>
    <w:pPr>
      <w:pBdr/>
      <w:spacing/>
      <w:ind/>
    </w:pPr>
  </w:style>
  <w:style w:type="paragraph" w:styleId="999">
    <w:name w:val="Caption"/>
    <w:basedOn w:val="1018"/>
    <w:next w:val="101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000">
    <w:name w:val="footnote text"/>
    <w:basedOn w:val="1018"/>
    <w:link w:val="100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1">
    <w:name w:val="Footnote Text Char"/>
    <w:basedOn w:val="1020"/>
    <w:link w:val="1000"/>
    <w:uiPriority w:val="99"/>
    <w:semiHidden/>
    <w:pPr>
      <w:pBdr/>
      <w:spacing/>
      <w:ind/>
    </w:pPr>
    <w:rPr>
      <w:sz w:val="20"/>
      <w:szCs w:val="20"/>
    </w:rPr>
  </w:style>
  <w:style w:type="character" w:styleId="1002">
    <w:name w:val="footnote reference"/>
    <w:basedOn w:val="1020"/>
    <w:uiPriority w:val="99"/>
    <w:semiHidden/>
    <w:unhideWhenUsed/>
    <w:pPr>
      <w:pBdr/>
      <w:spacing/>
      <w:ind/>
    </w:pPr>
    <w:rPr>
      <w:vertAlign w:val="superscript"/>
    </w:rPr>
  </w:style>
  <w:style w:type="character" w:styleId="1003">
    <w:name w:val="Endnote Text Char"/>
    <w:basedOn w:val="1020"/>
    <w:link w:val="1027"/>
    <w:uiPriority w:val="99"/>
    <w:semiHidden/>
    <w:pPr>
      <w:pBdr/>
      <w:spacing/>
      <w:ind/>
    </w:pPr>
    <w:rPr>
      <w:sz w:val="20"/>
      <w:szCs w:val="20"/>
    </w:rPr>
  </w:style>
  <w:style w:type="character" w:styleId="1004">
    <w:name w:val="Hyperlink"/>
    <w:basedOn w:val="102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005">
    <w:name w:val="FollowedHyperlink"/>
    <w:basedOn w:val="102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006">
    <w:name w:val="toc 1"/>
    <w:basedOn w:val="1018"/>
    <w:next w:val="1018"/>
    <w:uiPriority w:val="39"/>
    <w:unhideWhenUsed/>
    <w:pPr>
      <w:pBdr/>
      <w:spacing w:after="100"/>
      <w:ind/>
    </w:pPr>
  </w:style>
  <w:style w:type="paragraph" w:styleId="1007">
    <w:name w:val="toc 2"/>
    <w:basedOn w:val="1018"/>
    <w:next w:val="1018"/>
    <w:uiPriority w:val="39"/>
    <w:unhideWhenUsed/>
    <w:pPr>
      <w:pBdr/>
      <w:spacing w:after="100"/>
      <w:ind w:left="220"/>
    </w:pPr>
  </w:style>
  <w:style w:type="paragraph" w:styleId="1008">
    <w:name w:val="toc 3"/>
    <w:basedOn w:val="1018"/>
    <w:next w:val="1018"/>
    <w:uiPriority w:val="39"/>
    <w:unhideWhenUsed/>
    <w:pPr>
      <w:pBdr/>
      <w:spacing w:after="100"/>
      <w:ind w:left="440"/>
    </w:pPr>
  </w:style>
  <w:style w:type="paragraph" w:styleId="1009">
    <w:name w:val="toc 4"/>
    <w:basedOn w:val="1018"/>
    <w:next w:val="1018"/>
    <w:uiPriority w:val="39"/>
    <w:unhideWhenUsed/>
    <w:pPr>
      <w:pBdr/>
      <w:spacing w:after="100"/>
      <w:ind w:left="660"/>
    </w:pPr>
  </w:style>
  <w:style w:type="paragraph" w:styleId="1010">
    <w:name w:val="toc 5"/>
    <w:basedOn w:val="1018"/>
    <w:next w:val="1018"/>
    <w:uiPriority w:val="39"/>
    <w:unhideWhenUsed/>
    <w:pPr>
      <w:pBdr/>
      <w:spacing w:after="100"/>
      <w:ind w:left="880"/>
    </w:pPr>
  </w:style>
  <w:style w:type="paragraph" w:styleId="1011">
    <w:name w:val="toc 6"/>
    <w:basedOn w:val="1018"/>
    <w:next w:val="1018"/>
    <w:uiPriority w:val="39"/>
    <w:unhideWhenUsed/>
    <w:pPr>
      <w:pBdr/>
      <w:spacing w:after="100"/>
      <w:ind w:left="1100"/>
    </w:pPr>
  </w:style>
  <w:style w:type="paragraph" w:styleId="1012">
    <w:name w:val="toc 7"/>
    <w:basedOn w:val="1018"/>
    <w:next w:val="1018"/>
    <w:uiPriority w:val="39"/>
    <w:unhideWhenUsed/>
    <w:pPr>
      <w:pBdr/>
      <w:spacing w:after="100"/>
      <w:ind w:left="1320"/>
    </w:pPr>
  </w:style>
  <w:style w:type="paragraph" w:styleId="1013">
    <w:name w:val="toc 8"/>
    <w:basedOn w:val="1018"/>
    <w:next w:val="1018"/>
    <w:uiPriority w:val="39"/>
    <w:unhideWhenUsed/>
    <w:pPr>
      <w:pBdr/>
      <w:spacing w:after="100"/>
      <w:ind w:left="1540"/>
    </w:pPr>
  </w:style>
  <w:style w:type="paragraph" w:styleId="1014">
    <w:name w:val="toc 9"/>
    <w:basedOn w:val="1018"/>
    <w:next w:val="1018"/>
    <w:uiPriority w:val="39"/>
    <w:unhideWhenUsed/>
    <w:pPr>
      <w:pBdr/>
      <w:spacing w:after="100"/>
      <w:ind w:left="1760"/>
    </w:pPr>
  </w:style>
  <w:style w:type="character" w:styleId="1015">
    <w:name w:val="Placeholder Text"/>
    <w:basedOn w:val="1020"/>
    <w:uiPriority w:val="99"/>
    <w:semiHidden/>
    <w:pPr>
      <w:pBdr/>
      <w:spacing/>
      <w:ind/>
    </w:pPr>
    <w:rPr>
      <w:color w:val="666666"/>
    </w:rPr>
  </w:style>
  <w:style w:type="paragraph" w:styleId="1016">
    <w:name w:val="TOC Heading"/>
    <w:uiPriority w:val="39"/>
    <w:unhideWhenUsed/>
    <w:pPr>
      <w:pBdr/>
      <w:spacing/>
      <w:ind/>
    </w:pPr>
  </w:style>
  <w:style w:type="paragraph" w:styleId="1017">
    <w:name w:val="table of figures"/>
    <w:basedOn w:val="1018"/>
    <w:next w:val="1018"/>
    <w:uiPriority w:val="99"/>
    <w:unhideWhenUsed/>
    <w:pPr>
      <w:pBdr/>
      <w:spacing w:after="0" w:afterAutospacing="0"/>
      <w:ind/>
    </w:pPr>
  </w:style>
  <w:style w:type="paragraph" w:styleId="1018" w:default="1">
    <w:name w:val="Normal"/>
    <w:qFormat/>
    <w:pPr>
      <w:pBdr/>
      <w:spacing/>
      <w:ind/>
    </w:pPr>
  </w:style>
  <w:style w:type="paragraph" w:styleId="1019">
    <w:name w:val="Heading 3"/>
    <w:basedOn w:val="1018"/>
    <w:link w:val="103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1020" w:default="1">
    <w:name w:val="Default Paragraph Font"/>
    <w:uiPriority w:val="1"/>
    <w:semiHidden/>
    <w:unhideWhenUsed/>
    <w:pPr>
      <w:pBdr/>
      <w:spacing/>
      <w:ind/>
    </w:pPr>
  </w:style>
  <w:style w:type="table" w:styleId="102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022" w:default="1">
    <w:name w:val="No List"/>
    <w:uiPriority w:val="99"/>
    <w:semiHidden/>
    <w:unhideWhenUsed/>
    <w:pPr>
      <w:pBdr/>
      <w:spacing/>
      <w:ind/>
    </w:pPr>
  </w:style>
  <w:style w:type="paragraph" w:styleId="1023">
    <w:name w:val="Header"/>
    <w:basedOn w:val="1018"/>
    <w:link w:val="102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24" w:customStyle="1">
    <w:name w:val="Encabezado Car"/>
    <w:basedOn w:val="1020"/>
    <w:link w:val="1023"/>
    <w:uiPriority w:val="99"/>
    <w:pPr>
      <w:pBdr/>
      <w:spacing/>
      <w:ind/>
    </w:pPr>
  </w:style>
  <w:style w:type="paragraph" w:styleId="1025">
    <w:name w:val="Footer"/>
    <w:basedOn w:val="1018"/>
    <w:link w:val="102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26" w:customStyle="1">
    <w:name w:val="Pie de página Car"/>
    <w:basedOn w:val="1020"/>
    <w:link w:val="1025"/>
    <w:uiPriority w:val="99"/>
    <w:pPr>
      <w:pBdr/>
      <w:spacing/>
      <w:ind/>
    </w:pPr>
  </w:style>
  <w:style w:type="paragraph" w:styleId="1027">
    <w:name w:val="endnote text"/>
    <w:basedOn w:val="1018"/>
    <w:link w:val="102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28" w:customStyle="1">
    <w:name w:val="Texto nota al final Car"/>
    <w:basedOn w:val="1020"/>
    <w:link w:val="1027"/>
    <w:uiPriority w:val="99"/>
    <w:semiHidden/>
    <w:pPr>
      <w:pBdr/>
      <w:spacing/>
      <w:ind/>
    </w:pPr>
    <w:rPr>
      <w:sz w:val="20"/>
      <w:szCs w:val="20"/>
    </w:rPr>
  </w:style>
  <w:style w:type="character" w:styleId="1029">
    <w:name w:val="endnote reference"/>
    <w:basedOn w:val="1020"/>
    <w:uiPriority w:val="99"/>
    <w:semiHidden/>
    <w:unhideWhenUsed/>
    <w:pPr>
      <w:pBdr/>
      <w:spacing/>
      <w:ind/>
    </w:pPr>
    <w:rPr>
      <w:vertAlign w:val="superscript"/>
    </w:rPr>
  </w:style>
  <w:style w:type="character" w:styleId="1030" w:customStyle="1">
    <w:name w:val="Título 3 Car"/>
    <w:basedOn w:val="1020"/>
    <w:link w:val="101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31">
    <w:name w:val="Normal (Web)"/>
    <w:basedOn w:val="101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32">
    <w:name w:val="Balloon Text"/>
    <w:basedOn w:val="1018"/>
    <w:link w:val="103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33" w:customStyle="1">
    <w:name w:val="Texto de globo Car"/>
    <w:basedOn w:val="1020"/>
    <w:link w:val="103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3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3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6</cp:revision>
  <dcterms:created xsi:type="dcterms:W3CDTF">2025-06-09T06:39:00Z</dcterms:created>
  <dcterms:modified xsi:type="dcterms:W3CDTF">2026-04-17T11:09:15Z</dcterms:modified>
</cp:coreProperties>
</file>