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Lato" w:hAnsi="Lato" w:cs="Lato"/>
          <w:sz w:val="28"/>
          <w:szCs w:val="28"/>
        </w:rPr>
      </w:pPr>
      <w:r>
        <w:rPr>
          <w:rFonts w:ascii="Lato" w:hAnsi="Lato" w:eastAsia="Lato" w:cs="Lato"/>
          <w:b/>
          <w:color w:val="0f1115"/>
          <w:sz w:val="28"/>
          <w:szCs w:val="28"/>
        </w:rPr>
        <w:t xml:space="preserve">NOTA DE PRENSA: </w:t>
      </w:r>
      <w:r>
        <w:rPr>
          <w:rFonts w:ascii="Lato" w:hAnsi="Lato" w:eastAsia="Lato" w:cs="Lato"/>
          <w:b/>
          <w:color w:val="0f1115"/>
          <w:sz w:val="28"/>
          <w:szCs w:val="28"/>
        </w:rPr>
        <w:t xml:space="preserve">El Consejo Comarcal del Bierzo aprueba la inversión de más de 530.000 euros en 49 obras para juntas vecinales </w:t>
      </w:r>
      <w:r>
        <w:rPr>
          <w:rFonts w:ascii="Lato" w:hAnsi="Lato" w:eastAsia="Lato" w:cs="Lato"/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Lato" w:hAnsi="Lato" w:eastAsia="Lato" w:cs="Lato"/>
          <w:bCs/>
          <w:i/>
          <w:color w:val="0f1115"/>
          <w:sz w:val="24"/>
          <w:szCs w:val="24"/>
        </w:rPr>
      </w:pPr>
      <w:r>
        <w:rPr>
          <w:rFonts w:ascii="Lato" w:hAnsi="Lato" w:eastAsia="Lato" w:cs="Lato"/>
          <w:i/>
          <w:color w:val="0f1115"/>
          <w:sz w:val="24"/>
        </w:rPr>
        <w:t xml:space="preserve">Fecha: 30 de enero de 2026.</w:t>
      </w:r>
      <w:r>
        <w:rPr>
          <w:rFonts w:ascii="Lato" w:hAnsi="Lato" w:cs="Lato"/>
          <w:sz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Lato" w:hAnsi="Lato" w:cs="Lato"/>
          <w:sz w:val="24"/>
          <w:szCs w:val="24"/>
        </w:rPr>
      </w:pPr>
      <w:r>
        <w:rPr>
          <w:rFonts w:ascii="Lato" w:hAnsi="Lato" w:eastAsia="Lato" w:cs="Lato"/>
          <w:i/>
          <w:color w:val="0f1115"/>
          <w:sz w:val="24"/>
        </w:rPr>
      </w:r>
      <w:r>
        <w:rPr>
          <w:rFonts w:ascii="Lato" w:hAnsi="Lato" w:eastAsia="Lato" w:cs="Lato"/>
          <w:color w:val="0f1115"/>
          <w:sz w:val="24"/>
        </w:rPr>
        <w:t xml:space="preserve">La Junta de Gobierno del Consejo Comarcal del Bierzo ha aprobado este viernes la financiación de un total de 49 actuaciones correspondientes al </w:t>
      </w:r>
      <w:r>
        <w:rPr>
          <w:rFonts w:ascii="Lato" w:hAnsi="Lato" w:eastAsia="Lato" w:cs="Lato"/>
          <w:b/>
          <w:color w:val="0f1115"/>
          <w:sz w:val="24"/>
        </w:rPr>
        <w:t xml:space="preserve">Lote 4 del Plan de Juntas Vecinales para el ejercicio 2024-2025</w:t>
      </w:r>
      <w:r>
        <w:rPr>
          <w:rFonts w:ascii="Lato" w:hAnsi="Lato" w:eastAsia="Lato" w:cs="Lato"/>
          <w:color w:val="0f1115"/>
          <w:sz w:val="24"/>
        </w:rPr>
        <w:t xml:space="preserve">. La inversión total aprobada asciende a </w:t>
      </w:r>
      <w:r>
        <w:rPr>
          <w:rFonts w:ascii="Lato" w:hAnsi="Lato" w:eastAsia="Lato" w:cs="Lato"/>
          <w:b/>
          <w:color w:val="0f1115"/>
          <w:sz w:val="24"/>
        </w:rPr>
      </w:r>
      <w:r>
        <w:rPr>
          <w:rFonts w:ascii="Lato" w:hAnsi="Lato" w:eastAsia="Lato" w:cs="Lato"/>
          <w:b/>
          <w:color w:val="0f1115"/>
          <w:sz w:val="24"/>
        </w:rPr>
        <w:t xml:space="preserve">530.091,10 </w:t>
      </w:r>
      <w:r>
        <w:rPr>
          <w:rFonts w:ascii="Lato" w:hAnsi="Lato" w:eastAsia="Lato" w:cs="Lato"/>
          <w:b/>
          <w:color w:val="0f1115"/>
          <w:sz w:val="24"/>
        </w:rPr>
        <w:t xml:space="preserve">euros</w:t>
      </w:r>
      <w:r>
        <w:rPr>
          <w:rFonts w:ascii="Lato" w:hAnsi="Lato" w:eastAsia="Lato" w:cs="Lato"/>
          <w:color w:val="0f1115"/>
          <w:sz w:val="24"/>
        </w:rPr>
        <w:t xml:space="preserve">, destinados a mejorar infraestructuras y servicios en entidades locales menores de 17 municipios bercianos.</w:t>
      </w:r>
      <w:r>
        <w:rPr>
          <w:rFonts w:ascii="Lato" w:hAnsi="Lato" w:eastAsia="Lato" w:cs="Lato"/>
        </w:rPr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Tras el análisis técnico y jurídico de las solicitudes presentadas, se han seleccionado proyectos que cumplen con los requisitos establecidos en las bases de la convocatoria, priorizando obras de interés común y mejora de la calidad de vida en los núcleos </w:t>
      </w:r>
      <w:r>
        <w:rPr>
          <w:rFonts w:ascii="Lato" w:hAnsi="Lato" w:eastAsia="Lato" w:cs="Lato"/>
          <w:color w:val="0f1115"/>
          <w:sz w:val="24"/>
        </w:rPr>
        <w:t xml:space="preserve">rurales. El importe total valorado de las obras solicitadas superaba los </w:t>
      </w:r>
      <w:r>
        <w:rPr>
          <w:rFonts w:ascii="Lato" w:hAnsi="Lato" w:eastAsia="Lato" w:cs="Lato"/>
          <w:color w:val="0f1115"/>
          <w:sz w:val="24"/>
        </w:rPr>
        <w:t xml:space="preserve">545.041,76</w:t>
      </w:r>
      <w:r>
        <w:rPr>
          <w:rFonts w:ascii="Lato" w:hAnsi="Lato" w:eastAsia="Lato" w:cs="Lato"/>
          <w:color w:val="0f1115"/>
          <w:sz w:val="24"/>
        </w:rPr>
        <w:t xml:space="preserve"> euros.</w:t>
      </w:r>
      <w:r>
        <w:rPr>
          <w:rFonts w:ascii="Lato" w:hAnsi="Lato" w:eastAsia="Lato" w:cs="Lato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Entre las 49 obras subvencionadas destacan proyectos de pavimentación de calles, adecuación de espacios públicos, mejora de abastecimientos de agua, rehabilitación de fuentes y lavaderos, construcción de muros de contención, y equipamiento contra incendios</w:t>
      </w:r>
      <w:r>
        <w:rPr>
          <w:rFonts w:ascii="Lato" w:hAnsi="Lato" w:eastAsia="Lato" w:cs="Lato"/>
          <w:color w:val="0f1115"/>
          <w:sz w:val="24"/>
        </w:rPr>
        <w:t xml:space="preserve">. Algunas de las actuaciones más relevantes son: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Pavimentación de calles en </w:t>
      </w:r>
      <w:r>
        <w:rPr>
          <w:rFonts w:ascii="Lato" w:hAnsi="Lato" w:eastAsia="Lato" w:cs="Lato"/>
          <w:b/>
          <w:color w:val="0f1115"/>
          <w:sz w:val="24"/>
        </w:rPr>
        <w:t xml:space="preserve">Hervededo (Camponaraya)</w:t>
      </w:r>
      <w:r>
        <w:rPr>
          <w:rFonts w:ascii="Lato" w:hAnsi="Lato" w:eastAsia="Lato" w:cs="Lato"/>
          <w:color w:val="0f1115"/>
          <w:sz w:val="24"/>
        </w:rPr>
        <w:t xml:space="preserve">, </w:t>
      </w:r>
      <w:r>
        <w:rPr>
          <w:rFonts w:ascii="Lato" w:hAnsi="Lato" w:eastAsia="Lato" w:cs="Lato"/>
          <w:b/>
          <w:color w:val="0f1115"/>
          <w:sz w:val="24"/>
        </w:rPr>
        <w:t xml:space="preserve">San Lorenzo (Ponferrada)</w:t>
      </w:r>
      <w:r>
        <w:rPr>
          <w:rFonts w:ascii="Lato" w:hAnsi="Lato" w:eastAsia="Lato" w:cs="Lato"/>
          <w:color w:val="0f1115"/>
          <w:sz w:val="24"/>
        </w:rPr>
        <w:t xml:space="preserve"> y </w:t>
      </w:r>
      <w:r>
        <w:rPr>
          <w:rFonts w:ascii="Lato" w:hAnsi="Lato" w:eastAsia="Lato" w:cs="Lato"/>
          <w:b/>
          <w:color w:val="0f1115"/>
          <w:sz w:val="24"/>
        </w:rPr>
        <w:t xml:space="preserve">Villanueva de Valdueza (Ponferrada)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Adecuación del antiguo cementerio en </w:t>
      </w:r>
      <w:r>
        <w:rPr>
          <w:rFonts w:ascii="Lato" w:hAnsi="Lato" w:eastAsia="Lato" w:cs="Lato"/>
          <w:b/>
          <w:color w:val="0f1115"/>
          <w:sz w:val="24"/>
        </w:rPr>
        <w:t xml:space="preserve">Matachana (Castropodame)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Alcantarillado en la calle Serradero en </w:t>
      </w:r>
      <w:r>
        <w:rPr>
          <w:rFonts w:ascii="Lato" w:hAnsi="Lato" w:eastAsia="Lato" w:cs="Lato"/>
          <w:b/>
          <w:color w:val="0f1115"/>
          <w:sz w:val="24"/>
        </w:rPr>
        <w:t xml:space="preserve">Toral de Merayo (Ponferrada)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Construcción de un depósito en </w:t>
      </w:r>
      <w:r>
        <w:rPr>
          <w:rFonts w:ascii="Lato" w:hAnsi="Lato" w:eastAsia="Lato" w:cs="Lato"/>
          <w:b/>
          <w:color w:val="0f1115"/>
          <w:sz w:val="24"/>
        </w:rPr>
        <w:t xml:space="preserve">Paradela de Muces (Priaranza del Bierzo)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Restauración del horno comunal en </w:t>
      </w:r>
      <w:r>
        <w:rPr>
          <w:rFonts w:ascii="Lato" w:hAnsi="Lato" w:eastAsia="Lato" w:cs="Lato"/>
          <w:b/>
          <w:color w:val="0f1115"/>
          <w:sz w:val="24"/>
        </w:rPr>
        <w:t xml:space="preserve">Cabeza de Campo (Sobrado)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Mejoras en el abastecimiento de agua en </w:t>
      </w:r>
      <w:r>
        <w:rPr>
          <w:rFonts w:ascii="Lato" w:hAnsi="Lato" w:eastAsia="Lato" w:cs="Lato"/>
          <w:b/>
          <w:color w:val="0f1115"/>
          <w:sz w:val="24"/>
        </w:rPr>
        <w:t xml:space="preserve">Moral de Valcarce (Trabadelo)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eastAsia="Lato" w:cs="Lato"/>
        </w:rPr>
      </w:r>
    </w:p>
    <w:p>
      <w:pPr>
        <w:pStyle w:val="95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Lato" w:hAnsi="Lato" w:cs="Lato"/>
        </w:rPr>
      </w:pPr>
      <w:r>
        <w:rPr>
          <w:rFonts w:ascii="Lato" w:hAnsi="Lato" w:eastAsia="Lato" w:cs="Lato"/>
          <w:color w:val="0f1115"/>
          <w:sz w:val="24"/>
        </w:rPr>
        <w:t xml:space="preserve">Equipamiento contra incendios en </w:t>
      </w:r>
      <w:r>
        <w:rPr>
          <w:rFonts w:ascii="Lato" w:hAnsi="Lato" w:eastAsia="Lato" w:cs="Lato"/>
          <w:b/>
          <w:color w:val="0f1115"/>
          <w:sz w:val="24"/>
        </w:rPr>
        <w:t xml:space="preserve">Trabadelo</w:t>
      </w:r>
      <w:r>
        <w:rPr>
          <w:rFonts w:ascii="Lato" w:hAnsi="Lato" w:eastAsia="Lato" w:cs="Lato"/>
          <w:color w:val="0f1115"/>
          <w:sz w:val="24"/>
        </w:rPr>
        <w:t xml:space="preserve">.</w:t>
      </w:r>
      <w:r>
        <w:rPr>
          <w:rFonts w:ascii="Lato" w:hAnsi="Lato" w:cs="Lato"/>
          <w:sz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 w:firstLine="0" w:left="709"/>
        <w:jc w:val="both"/>
        <w:rPr>
          <w:rFonts w:ascii="Lato" w:hAnsi="Lato" w:cs="Lato"/>
          <w:sz w:val="24"/>
          <w:szCs w:val="24"/>
        </w:rPr>
      </w:pPr>
      <w:r>
        <w:rPr>
          <w:rFonts w:ascii="Lato" w:hAnsi="Lato" w:eastAsia="Lato" w:cs="Lato"/>
          <w:color w:val="0f1115"/>
          <w:sz w:val="24"/>
          <w:highlight w:val="none"/>
        </w:rPr>
      </w:r>
      <w:r>
        <w:rPr>
          <w:rFonts w:ascii="Lato" w:hAnsi="Lato" w:eastAsia="Lato" w:cs="Lato"/>
          <w:color w:val="0f1115"/>
          <w:sz w:val="24"/>
          <w:highlight w:val="none"/>
        </w:rPr>
      </w:r>
      <w:r>
        <w:rPr>
          <w:rFonts w:ascii="Lato" w:hAnsi="Lato" w:eastAsia="Lato" w:cs="Lato"/>
          <w:color w:val="0f1115"/>
          <w:sz w:val="24"/>
          <w:highlight w:val="none"/>
        </w:rPr>
      </w:r>
    </w:p>
    <w:tbl>
      <w:tblPr>
        <w:tblInd w:w="-142" w:type="dxa"/>
        <w:tblW w:w="0" w:type="auto"/>
        <w:tblCellMar>
          <w:left w:w="30" w:type="dxa"/>
          <w:right w:w="30" w:type="dxa"/>
        </w:tblCellMar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30"/>
        <w:gridCol w:w="1076"/>
        <w:gridCol w:w="1641"/>
        <w:gridCol w:w="3590"/>
        <w:gridCol w:w="1200"/>
        <w:gridCol w:w="1134"/>
      </w:tblGrid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N.º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lef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Nombre municipio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Nombre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entidad local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Denominación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actuación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Inversión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Valorada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Subvención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  <w:p>
            <w:pPr>
              <w:pBdr/>
              <w:spacing w:after="0" w:line="240" w:lineRule="auto"/>
              <w:ind/>
              <w:jc w:val="center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Borrenes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BORRENES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Rayego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3ª fase en Borrenes.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Borrenes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ORELLÁN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Aparcamiento 2º fase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Orellán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Borrenes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SAN JUAN DE PALUEZAS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Demolición inmueble en San Juan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Paluezas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Borrenes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VOCES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Ampliación caseta y adecuación entorno pozo riego en Voces.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Camponaraya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HERVEDEDO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Hervededo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Carucedo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CARUCEDO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Adecuación zonas fuente y lavadero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Carucedo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Castropodame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MATACHANA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Adecuación antiguo cementerio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Matachana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14.000,00 €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14.000,00 €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8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Castropodame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VILLAVERDE DE LOS CESTOS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Mobiliario urbano para mejoras urbanísticas en Villaverde de los Cestos.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9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Folgoso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 la Ribera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EL VALLE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Ejecución muro mampostería en El Valle.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12.110,89 €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Páramo del Sil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ANLLARES DEL SIL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Cubierta en área recreativa Bº Hospital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Anllares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del Sil.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Páramo del Sil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ARGAYO DEL SIL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Adecuación y hormigonado camino El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Fontanón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en Argayo del Sil.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11.993,31 €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11.993,31 €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Peranzanes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CHANO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Acondicionamiento espacios públicos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Chano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Peranzanes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GUÍMARA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Renovación cubierta y ampliación escuela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Guímara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11.999,99 €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Ponferrada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PEÑALBA DE SANTIAGO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Acondicionamiento salón de usos múltiples en Casa del Pueblo de Peñalba de Santiago.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15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Ponferrada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SAN LORENZO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Pozo de Villa en San Lorenzo.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16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Ponferrada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TORAL DE MERAYO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Alcantarillado calle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Serradero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en Toral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Merayo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15.000,00 €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17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Ponferrada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VILLANUEVA DE VALDUEZA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Infraestructuras y pavimentación calle Bolos en Villanueva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Valdueza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18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Priaranza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del Bierzo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PARADELA DE MUCES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Construcción depósito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Paradela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 Muces.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10.037,60 €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19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Priaranza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del Bierzo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PRIARANZA DEL BIERZO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 en camino y plaza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Priaranza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del Bierzo.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20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Puente de Domingo Flórez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PUENTE DE DOMINGO FLÓREZ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Hormigonado calle y acondicionamiento ladera en Puente de Domingo Flórez. (Polígono:6 Parcelas:700 y 701)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14.000,00 €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14.000,00 €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AGUIAR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Acondicionamiento camino en Aguiar.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CABARCOS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Hormigonado acera Santo Tirso y colocación barandilla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Cabarcos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CABEZA DE CAMPO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Restauración horno comunal en Cabeza de Campo.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21.801,18 €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FRIERA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Revestimiento muro y pavimentación en Friera.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REQUEJO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Equipamiento contra incendios y vallado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Requejo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Sobrado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SOBREDO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Rehabilitación fuente Quinta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Sobredo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Toral de los Vados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OTERO DE TORAL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Rehabilitación fuente de San Juan en Otero de Toral.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11.742,75 €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11.742,75 €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8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MORAL DE 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 abastecimiento agua en Moral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29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PARADA DE SOTO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en Parada de Soto.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30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PEREJE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Pavimento camino Horno de la Cal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Pereje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9.755,10 €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9.755,10 €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PRADELA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Conducción para riego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Pradela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SAN FIZ DO SEO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Construcción muro en San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Fiz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do Seo.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SOTELO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en Sotelo.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Equipamiento contra incendios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Trabadelo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VILLAR DE LOS CORRALES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calle en Villar de Corrales.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Valle de Ancares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SORBEIRA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Cerramiento en captación de agua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Sorbeira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6.900,00 €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6.900,00 €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AMBASMESTAS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Pavimentación camino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Veiga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Grande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Ambasmestas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8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LA BRAÑA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Mejoras en dos fuentes públicas en La Braña.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39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LA FABA-BARGELAS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Construcción muro contención calle La Iglesia en La Faba.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0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LA LAGUNA-CERNADA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Renovación pavimento y muro contención en La Cernada.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LAS HERRERÍAS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Barandilla y asfaltado calle en Las Herrerías.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2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LINDOSO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Mejoras en la captación de abastecimiento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Lindoso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3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MOÑÓN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Mejoras urbanísticas calle Cervantes en Moñón.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RANSINDE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Acometidas de agua para abastecimiento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Ransinde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RUITELÁN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Mejoras en espacios públicos urbanos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Ruitelán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6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SAN JULIÁN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Mejoras urbanísticas en espacios públicos en San Julián.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7.700,00 €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7.700,00 €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7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SAN TIRSO-LAS LAMAS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Colocación barrera de seguridad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bionda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 en Las Lamas.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8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SOTOGAYOSO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Ejecución muro contención en calle Hornos en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Sotogayoso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10.000,00 €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328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49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J.V. VEGA DE 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Colocación embellecedores para contenedores R.S.U. en Vega de 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Valcarce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.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  <w:t xml:space="preserve">12.000,00 €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  <w:tr>
        <w:trPr>
          <w:trHeight w:val="293"/>
        </w:trPr>
        <w:tc>
          <w:tcPr>
            <w:shd w:val="clear" w:color="ffffff" w:fill="ffffff"/>
            <w:tcBorders/>
            <w:tcW w:w="43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076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641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359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b/>
                <w:bCs/>
                <w:sz w:val="20"/>
                <w:szCs w:val="20"/>
                <w:lang w:eastAsia="zh-CN"/>
              </w:rPr>
              <w:t xml:space="preserve">TOTAL PROPUESTA DE APROBACIÓN DEL LOTE 4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2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45</w:t>
            </w: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.041,76 €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  <w:tc>
          <w:tcPr>
            <w:shd w:val="clear" w:color="ffffff" w:fill="ffffff"/>
            <w:tcBorders/>
            <w:tcW w:w="1134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right"/>
              <w:rPr>
                <w:rFonts w:ascii="Lato" w:hAnsi="Lato" w:cs="Lato"/>
                <w:sz w:val="20"/>
                <w:szCs w:val="20"/>
              </w:rPr>
            </w:pP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5</w:t>
            </w: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30</w:t>
            </w:r>
            <w:r>
              <w:rPr>
                <w:rFonts w:ascii="Lato" w:hAnsi="Lato" w:eastAsia="Lato" w:cs="Lato"/>
                <w:b/>
                <w:sz w:val="20"/>
                <w:szCs w:val="20"/>
                <w:lang w:eastAsia="zh-CN"/>
              </w:rPr>
              <w:t xml:space="preserve">.091,10 €</w:t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  <w:r>
              <w:rPr>
                <w:rFonts w:ascii="Lato" w:hAnsi="Lato" w:eastAsia="Lato" w:cs="Lato"/>
                <w:sz w:val="20"/>
                <w:szCs w:val="20"/>
                <w:lang w:eastAsia="zh-CN"/>
              </w:rPr>
            </w:r>
          </w:p>
        </w:tc>
      </w:tr>
    </w:tbl>
    <w:p>
      <w:pPr>
        <w:pBdr/>
        <w:spacing/>
        <w:ind/>
        <w:rPr>
          <w:rFonts w:ascii="Lato" w:hAnsi="Lato" w:cs="Lato"/>
        </w:rPr>
      </w:pPr>
      <w:r>
        <w:rPr>
          <w:rFonts w:ascii="Lato" w:hAnsi="Lato" w:eastAsia="Lato" w:cs="Lato"/>
        </w:rPr>
      </w:r>
      <w:r>
        <w:rPr>
          <w:rFonts w:ascii="Lato" w:hAnsi="Lato" w:eastAsia="Lato" w:cs="Lato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ato">
    <w:panose1 w:val="020F0502020204030203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6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7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6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7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7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/>
    <w:r/>
  </w:p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5"/>
      <w:pBdr/>
      <w:spacing/>
      <w:ind/>
      <w:rPr/>
    </w:pPr>
    <w:r/>
    <w:r/>
  </w:p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6E38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9">
    <w:name w:val="Table Grid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Table Grid Light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1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2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Plain Table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Plain Table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1 Light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1 Light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2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2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3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3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1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2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3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4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4 - Accent 5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4 - Accent 6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5 Dark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5 Dark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6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6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7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7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1 Light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1 Light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2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2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3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3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4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4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5 Dark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5 Dark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6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6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7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7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1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2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3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4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ned - Accent 5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ned - Accent 6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1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2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3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4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 &amp; Lined - Accent 5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&amp; Lined - Accent 6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5">
    <w:name w:val="Heading 1"/>
    <w:basedOn w:val="990"/>
    <w:next w:val="990"/>
    <w:link w:val="943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6">
    <w:name w:val="Heading 2"/>
    <w:basedOn w:val="990"/>
    <w:next w:val="990"/>
    <w:link w:val="944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7">
    <w:name w:val="Heading 4"/>
    <w:basedOn w:val="990"/>
    <w:next w:val="990"/>
    <w:link w:val="946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8">
    <w:name w:val="Heading 5"/>
    <w:basedOn w:val="990"/>
    <w:next w:val="990"/>
    <w:link w:val="947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9">
    <w:name w:val="Heading 6"/>
    <w:basedOn w:val="990"/>
    <w:next w:val="990"/>
    <w:link w:val="948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0">
    <w:name w:val="Heading 7"/>
    <w:basedOn w:val="990"/>
    <w:next w:val="990"/>
    <w:link w:val="949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41">
    <w:name w:val="Heading 8"/>
    <w:basedOn w:val="990"/>
    <w:next w:val="990"/>
    <w:link w:val="950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2">
    <w:name w:val="Heading 9"/>
    <w:basedOn w:val="990"/>
    <w:next w:val="990"/>
    <w:link w:val="951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3">
    <w:name w:val="Heading 1 Char"/>
    <w:basedOn w:val="992"/>
    <w:link w:val="93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4">
    <w:name w:val="Heading 2 Char"/>
    <w:basedOn w:val="992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5">
    <w:name w:val="Heading 3 Char"/>
    <w:basedOn w:val="992"/>
    <w:link w:val="9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6">
    <w:name w:val="Heading 4 Char"/>
    <w:basedOn w:val="992"/>
    <w:link w:val="937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7">
    <w:name w:val="Heading 5 Char"/>
    <w:basedOn w:val="992"/>
    <w:link w:val="9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8">
    <w:name w:val="Heading 6 Char"/>
    <w:basedOn w:val="992"/>
    <w:link w:val="939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9">
    <w:name w:val="Heading 7 Char"/>
    <w:basedOn w:val="992"/>
    <w:link w:val="940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50">
    <w:name w:val="Heading 8 Char"/>
    <w:basedOn w:val="992"/>
    <w:link w:val="94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51">
    <w:name w:val="Heading 9 Char"/>
    <w:basedOn w:val="992"/>
    <w:link w:val="94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2">
    <w:name w:val="Title"/>
    <w:basedOn w:val="990"/>
    <w:next w:val="990"/>
    <w:link w:val="953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3">
    <w:name w:val="Title Char"/>
    <w:basedOn w:val="992"/>
    <w:link w:val="952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4">
    <w:name w:val="Subtitle"/>
    <w:basedOn w:val="990"/>
    <w:next w:val="990"/>
    <w:link w:val="955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5">
    <w:name w:val="Subtitle Char"/>
    <w:basedOn w:val="992"/>
    <w:link w:val="954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6">
    <w:name w:val="Quote"/>
    <w:basedOn w:val="990"/>
    <w:next w:val="990"/>
    <w:link w:val="957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7">
    <w:name w:val="Quote Char"/>
    <w:basedOn w:val="992"/>
    <w:link w:val="956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8">
    <w:name w:val="List Paragraph"/>
    <w:basedOn w:val="990"/>
    <w:uiPriority w:val="34"/>
    <w:qFormat/>
    <w:pPr>
      <w:pBdr/>
      <w:spacing/>
      <w:ind w:left="720"/>
      <w:contextualSpacing w:val="true"/>
    </w:pPr>
  </w:style>
  <w:style w:type="character" w:styleId="959">
    <w:name w:val="Intense Emphasis"/>
    <w:basedOn w:val="99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60">
    <w:name w:val="Intense Quote"/>
    <w:basedOn w:val="990"/>
    <w:next w:val="990"/>
    <w:link w:val="961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61">
    <w:name w:val="Intense Quote Char"/>
    <w:basedOn w:val="992"/>
    <w:link w:val="96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2">
    <w:name w:val="Intense Reference"/>
    <w:basedOn w:val="99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3">
    <w:name w:val="No Spacing"/>
    <w:basedOn w:val="990"/>
    <w:uiPriority w:val="1"/>
    <w:qFormat/>
    <w:pPr>
      <w:pBdr/>
      <w:spacing w:after="0" w:line="240" w:lineRule="auto"/>
      <w:ind/>
    </w:pPr>
  </w:style>
  <w:style w:type="character" w:styleId="964">
    <w:name w:val="Subtle Emphasis"/>
    <w:basedOn w:val="99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5">
    <w:name w:val="Emphasis"/>
    <w:basedOn w:val="992"/>
    <w:uiPriority w:val="20"/>
    <w:qFormat/>
    <w:pPr>
      <w:pBdr/>
      <w:spacing/>
      <w:ind/>
    </w:pPr>
    <w:rPr>
      <w:i/>
      <w:iCs/>
    </w:rPr>
  </w:style>
  <w:style w:type="character" w:styleId="966">
    <w:name w:val="Strong"/>
    <w:basedOn w:val="992"/>
    <w:uiPriority w:val="22"/>
    <w:qFormat/>
    <w:pPr>
      <w:pBdr/>
      <w:spacing/>
      <w:ind/>
    </w:pPr>
    <w:rPr>
      <w:b/>
      <w:bCs/>
    </w:rPr>
  </w:style>
  <w:style w:type="character" w:styleId="967">
    <w:name w:val="Subtle Reference"/>
    <w:basedOn w:val="99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8">
    <w:name w:val="Book Title"/>
    <w:basedOn w:val="992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9">
    <w:name w:val="Header Char"/>
    <w:basedOn w:val="992"/>
    <w:link w:val="995"/>
    <w:uiPriority w:val="99"/>
    <w:pPr>
      <w:pBdr/>
      <w:spacing/>
      <w:ind/>
    </w:pPr>
  </w:style>
  <w:style w:type="character" w:styleId="970">
    <w:name w:val="Footer Char"/>
    <w:basedOn w:val="992"/>
    <w:link w:val="997"/>
    <w:uiPriority w:val="99"/>
    <w:pPr>
      <w:pBdr/>
      <w:spacing/>
      <w:ind/>
    </w:pPr>
  </w:style>
  <w:style w:type="paragraph" w:styleId="971">
    <w:name w:val="Caption"/>
    <w:basedOn w:val="990"/>
    <w:next w:val="99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2">
    <w:name w:val="footnote text"/>
    <w:basedOn w:val="990"/>
    <w:link w:val="973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3">
    <w:name w:val="Footnote Text Char"/>
    <w:basedOn w:val="992"/>
    <w:link w:val="972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footnote reference"/>
    <w:basedOn w:val="992"/>
    <w:uiPriority w:val="99"/>
    <w:semiHidden/>
    <w:unhideWhenUsed/>
    <w:pPr>
      <w:pBdr/>
      <w:spacing/>
      <w:ind/>
    </w:pPr>
    <w:rPr>
      <w:vertAlign w:val="superscript"/>
    </w:rPr>
  </w:style>
  <w:style w:type="character" w:styleId="975">
    <w:name w:val="Endnote Text Char"/>
    <w:basedOn w:val="992"/>
    <w:link w:val="999"/>
    <w:uiPriority w:val="99"/>
    <w:semiHidden/>
    <w:pPr>
      <w:pBdr/>
      <w:spacing/>
      <w:ind/>
    </w:pPr>
    <w:rPr>
      <w:sz w:val="20"/>
      <w:szCs w:val="20"/>
    </w:rPr>
  </w:style>
  <w:style w:type="character" w:styleId="976">
    <w:name w:val="Hyperlink"/>
    <w:basedOn w:val="99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7">
    <w:name w:val="FollowedHyperlink"/>
    <w:basedOn w:val="99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8">
    <w:name w:val="toc 1"/>
    <w:basedOn w:val="990"/>
    <w:next w:val="990"/>
    <w:uiPriority w:val="39"/>
    <w:unhideWhenUsed/>
    <w:pPr>
      <w:pBdr/>
      <w:spacing w:after="100"/>
      <w:ind/>
    </w:pPr>
  </w:style>
  <w:style w:type="paragraph" w:styleId="979">
    <w:name w:val="toc 2"/>
    <w:basedOn w:val="990"/>
    <w:next w:val="990"/>
    <w:uiPriority w:val="39"/>
    <w:unhideWhenUsed/>
    <w:pPr>
      <w:pBdr/>
      <w:spacing w:after="100"/>
      <w:ind w:left="220"/>
    </w:pPr>
  </w:style>
  <w:style w:type="paragraph" w:styleId="980">
    <w:name w:val="toc 3"/>
    <w:basedOn w:val="990"/>
    <w:next w:val="990"/>
    <w:uiPriority w:val="39"/>
    <w:unhideWhenUsed/>
    <w:pPr>
      <w:pBdr/>
      <w:spacing w:after="100"/>
      <w:ind w:left="440"/>
    </w:pPr>
  </w:style>
  <w:style w:type="paragraph" w:styleId="981">
    <w:name w:val="toc 4"/>
    <w:basedOn w:val="990"/>
    <w:next w:val="990"/>
    <w:uiPriority w:val="39"/>
    <w:unhideWhenUsed/>
    <w:pPr>
      <w:pBdr/>
      <w:spacing w:after="100"/>
      <w:ind w:left="660"/>
    </w:pPr>
  </w:style>
  <w:style w:type="paragraph" w:styleId="982">
    <w:name w:val="toc 5"/>
    <w:basedOn w:val="990"/>
    <w:next w:val="990"/>
    <w:uiPriority w:val="39"/>
    <w:unhideWhenUsed/>
    <w:pPr>
      <w:pBdr/>
      <w:spacing w:after="100"/>
      <w:ind w:left="880"/>
    </w:pPr>
  </w:style>
  <w:style w:type="paragraph" w:styleId="983">
    <w:name w:val="toc 6"/>
    <w:basedOn w:val="990"/>
    <w:next w:val="990"/>
    <w:uiPriority w:val="39"/>
    <w:unhideWhenUsed/>
    <w:pPr>
      <w:pBdr/>
      <w:spacing w:after="100"/>
      <w:ind w:left="1100"/>
    </w:pPr>
  </w:style>
  <w:style w:type="paragraph" w:styleId="984">
    <w:name w:val="toc 7"/>
    <w:basedOn w:val="990"/>
    <w:next w:val="990"/>
    <w:uiPriority w:val="39"/>
    <w:unhideWhenUsed/>
    <w:pPr>
      <w:pBdr/>
      <w:spacing w:after="100"/>
      <w:ind w:left="1320"/>
    </w:pPr>
  </w:style>
  <w:style w:type="paragraph" w:styleId="985">
    <w:name w:val="toc 8"/>
    <w:basedOn w:val="990"/>
    <w:next w:val="990"/>
    <w:uiPriority w:val="39"/>
    <w:unhideWhenUsed/>
    <w:pPr>
      <w:pBdr/>
      <w:spacing w:after="100"/>
      <w:ind w:left="1540"/>
    </w:pPr>
  </w:style>
  <w:style w:type="paragraph" w:styleId="986">
    <w:name w:val="toc 9"/>
    <w:basedOn w:val="990"/>
    <w:next w:val="990"/>
    <w:uiPriority w:val="39"/>
    <w:unhideWhenUsed/>
    <w:pPr>
      <w:pBdr/>
      <w:spacing w:after="100"/>
      <w:ind w:left="1760"/>
    </w:pPr>
  </w:style>
  <w:style w:type="character" w:styleId="987">
    <w:name w:val="Placeholder Text"/>
    <w:basedOn w:val="992"/>
    <w:uiPriority w:val="99"/>
    <w:semiHidden/>
    <w:pPr>
      <w:pBdr/>
      <w:spacing/>
      <w:ind/>
    </w:pPr>
    <w:rPr>
      <w:color w:val="666666"/>
    </w:rPr>
  </w:style>
  <w:style w:type="paragraph" w:styleId="988">
    <w:name w:val="TOC Heading"/>
    <w:uiPriority w:val="39"/>
    <w:unhideWhenUsed/>
    <w:pPr>
      <w:pBdr/>
      <w:spacing/>
      <w:ind/>
    </w:pPr>
  </w:style>
  <w:style w:type="paragraph" w:styleId="989">
    <w:name w:val="table of figures"/>
    <w:basedOn w:val="990"/>
    <w:next w:val="990"/>
    <w:uiPriority w:val="99"/>
    <w:unhideWhenUsed/>
    <w:pPr>
      <w:pBdr/>
      <w:spacing w:after="0" w:afterAutospacing="0"/>
      <w:ind/>
    </w:pPr>
  </w:style>
  <w:style w:type="paragraph" w:styleId="990" w:default="1">
    <w:name w:val="Normal"/>
    <w:qFormat/>
    <w:pPr>
      <w:pBdr/>
      <w:spacing/>
      <w:ind/>
    </w:pPr>
  </w:style>
  <w:style w:type="paragraph" w:styleId="991">
    <w:name w:val="Heading 3"/>
    <w:basedOn w:val="990"/>
    <w:link w:val="1002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2" w:default="1">
    <w:name w:val="Default Paragraph Font"/>
    <w:uiPriority w:val="1"/>
    <w:semiHidden/>
    <w:unhideWhenUsed/>
    <w:pPr>
      <w:pBdr/>
      <w:spacing/>
      <w:ind/>
    </w:pPr>
  </w:style>
  <w:style w:type="table" w:styleId="993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4" w:default="1">
    <w:name w:val="No List"/>
    <w:uiPriority w:val="99"/>
    <w:semiHidden/>
    <w:unhideWhenUsed/>
    <w:pPr>
      <w:pBdr/>
      <w:spacing/>
      <w:ind/>
    </w:pPr>
  </w:style>
  <w:style w:type="paragraph" w:styleId="995">
    <w:name w:val="Header"/>
    <w:basedOn w:val="990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Encabezado Car"/>
    <w:basedOn w:val="992"/>
    <w:link w:val="995"/>
    <w:uiPriority w:val="99"/>
    <w:pPr>
      <w:pBdr/>
      <w:spacing/>
      <w:ind/>
    </w:pPr>
  </w:style>
  <w:style w:type="paragraph" w:styleId="997">
    <w:name w:val="Footer"/>
    <w:basedOn w:val="990"/>
    <w:link w:val="998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8" w:customStyle="1">
    <w:name w:val="Pie de página Car"/>
    <w:basedOn w:val="992"/>
    <w:link w:val="997"/>
    <w:uiPriority w:val="99"/>
    <w:pPr>
      <w:pBdr/>
      <w:spacing/>
      <w:ind/>
    </w:pPr>
  </w:style>
  <w:style w:type="paragraph" w:styleId="999">
    <w:name w:val="endnote text"/>
    <w:basedOn w:val="990"/>
    <w:link w:val="100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0" w:customStyle="1">
    <w:name w:val="Texto nota al final Car"/>
    <w:basedOn w:val="992"/>
    <w:link w:val="999"/>
    <w:uiPriority w:val="99"/>
    <w:semiHidden/>
    <w:pPr>
      <w:pBdr/>
      <w:spacing/>
      <w:ind/>
    </w:pPr>
    <w:rPr>
      <w:sz w:val="20"/>
      <w:szCs w:val="20"/>
    </w:rPr>
  </w:style>
  <w:style w:type="character" w:styleId="1001">
    <w:name w:val="endnote reference"/>
    <w:basedOn w:val="992"/>
    <w:uiPriority w:val="99"/>
    <w:semiHidden/>
    <w:unhideWhenUsed/>
    <w:pPr>
      <w:pBdr/>
      <w:spacing/>
      <w:ind/>
    </w:pPr>
    <w:rPr>
      <w:vertAlign w:val="superscript"/>
    </w:rPr>
  </w:style>
  <w:style w:type="character" w:styleId="1002" w:customStyle="1">
    <w:name w:val="Título 3 Car"/>
    <w:basedOn w:val="992"/>
    <w:link w:val="991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3">
    <w:name w:val="Normal (Web)"/>
    <w:basedOn w:val="990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4">
    <w:name w:val="Balloon Text"/>
    <w:basedOn w:val="990"/>
    <w:link w:val="1005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5" w:customStyle="1">
    <w:name w:val="Texto de globo Car"/>
    <w:basedOn w:val="992"/>
    <w:link w:val="1004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6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7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5</cp:revision>
  <dcterms:created xsi:type="dcterms:W3CDTF">2025-06-09T06:39:00Z</dcterms:created>
  <dcterms:modified xsi:type="dcterms:W3CDTF">2026-01-30T09:31:06Z</dcterms:modified>
</cp:coreProperties>
</file>