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0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NOTA DE PRENSA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b/>
          <w:bCs/>
          <w:sz w:val="32"/>
          <w:szCs w:val="32"/>
        </w:rPr>
      </w:pPr>
      <w:r>
        <w:rPr>
          <w:rFonts w:ascii="Arial" w:hAnsi="Arial" w:eastAsia="Arial" w:cs="Arial"/>
          <w:b/>
          <w:bCs/>
          <w:color w:val="0f1115"/>
          <w:sz w:val="32"/>
          <w:szCs w:val="32"/>
        </w:rPr>
        <w:t xml:space="preserve">El Consejo Comarcal del Bierzo clausura con éxito el programa “Comanda en Ruta. Un paso más”, un proyecto puntero contra la despoblación a través del sector agroalimentario</w:t>
      </w:r>
      <w:r>
        <w:rPr>
          <w:b/>
          <w:bCs/>
          <w:sz w:val="32"/>
          <w:szCs w:val="3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bCs/>
          <w:i/>
        </w:rPr>
      </w:pPr>
      <w:r>
        <w:rPr>
          <w:rFonts w:ascii="Arial" w:hAnsi="Arial" w:eastAsia="Arial" w:cs="Arial"/>
          <w:i/>
          <w:iCs/>
          <w:color w:val="0f1115"/>
          <w:sz w:val="24"/>
        </w:rPr>
        <w:t xml:space="preserve">El proyecto, subvencionado con 148.000€ por el Ministerio de Transición Justa y Reto Demográfico, ha formado en agricultura y restauración, impulsado empresas y dinamizado el entorno rural a través de 16 rutas por 19 cantinas.</w:t>
      </w:r>
      <w:r>
        <w:rPr>
          <w:i/>
          <w:iCs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18 de diciembre de 2025</w:t>
      </w:r>
      <w:r>
        <w:rPr>
          <w:rFonts w:ascii="Arial" w:hAnsi="Arial" w:eastAsia="Arial" w:cs="Arial"/>
          <w:color w:val="0f1115"/>
          <w:sz w:val="24"/>
        </w:rPr>
        <w:t xml:space="preserve"> – El Consejo Comarcal del Bierzo ha clausurado hoy, con un acto de entrega de diplomas y reconocimientos, el programa “Comanda en Ruta. Un paso más”, un proyecto ejecutado por la institución comarcal gracias a una subvención de 148.000 euros del</w:t>
      </w:r>
      <w:r>
        <w:rPr>
          <w:rFonts w:ascii="Arial" w:hAnsi="Arial" w:eastAsia="Arial" w:cs="Arial"/>
          <w:color w:val="0f1115"/>
          <w:sz w:val="24"/>
        </w:rPr>
        <w:t xml:space="preserve"> Ministerio de Transición Justa y Reto Demográfico.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El acto, celebrado en Molinaseca, estuvo presidido por el presidente del Consejo Comarcal, </w:t>
      </w:r>
      <w:r>
        <w:rPr>
          <w:rFonts w:ascii="Arial" w:hAnsi="Arial" w:eastAsia="Arial" w:cs="Arial"/>
          <w:b/>
          <w:color w:val="0f1115"/>
          <w:sz w:val="24"/>
        </w:rPr>
        <w:t xml:space="preserve">Olegario Ramón Fernández</w:t>
      </w:r>
      <w:r>
        <w:rPr>
          <w:rFonts w:ascii="Arial" w:hAnsi="Arial" w:eastAsia="Arial" w:cs="Arial"/>
          <w:color w:val="0f1115"/>
          <w:sz w:val="24"/>
        </w:rPr>
        <w:t xml:space="preserve">, y la consejera comarcal de Formación, Empleo y Agenda 2030, </w:t>
      </w:r>
      <w:r>
        <w:rPr>
          <w:rFonts w:ascii="Arial" w:hAnsi="Arial" w:eastAsia="Arial" w:cs="Arial"/>
          <w:b/>
          <w:color w:val="0f1115"/>
          <w:sz w:val="24"/>
        </w:rPr>
        <w:t xml:space="preserve">Laura Fernández</w:t>
      </w:r>
      <w:r>
        <w:rPr>
          <w:rFonts w:ascii="Arial" w:hAnsi="Arial" w:eastAsia="Arial" w:cs="Arial"/>
          <w:color w:val="0f1115"/>
          <w:sz w:val="24"/>
        </w:rPr>
        <w:t xml:space="preserve">. En representación del Gobierno de España, asistió el subdelegado del Gobierno en León, </w:t>
      </w:r>
      <w:r>
        <w:rPr>
          <w:rFonts w:ascii="Arial" w:hAnsi="Arial" w:eastAsia="Arial" w:cs="Arial"/>
          <w:b/>
          <w:color w:val="0f1115"/>
          <w:sz w:val="24"/>
        </w:rPr>
        <w:t xml:space="preserve">Héctor Alaiz</w:t>
      </w:r>
      <w:r>
        <w:rPr>
          <w:rFonts w:ascii="Arial" w:hAnsi="Arial" w:eastAsia="Arial" w:cs="Arial"/>
          <w:color w:val="0f1115"/>
          <w:sz w:val="24"/>
        </w:rPr>
        <w:t xml:space="preserve">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El programa, que resultó ser el </w:t>
      </w:r>
      <w:r>
        <w:rPr>
          <w:rFonts w:ascii="Arial" w:hAnsi="Arial" w:eastAsia="Arial" w:cs="Arial"/>
          <w:b/>
          <w:color w:val="0f1115"/>
          <w:sz w:val="24"/>
        </w:rPr>
        <w:t xml:space="preserve">10º mejor valorado</w:t>
      </w:r>
      <w:r>
        <w:rPr>
          <w:rFonts w:ascii="Arial" w:hAnsi="Arial" w:eastAsia="Arial" w:cs="Arial"/>
          <w:color w:val="0f1115"/>
          <w:sz w:val="24"/>
        </w:rPr>
        <w:t xml:space="preserve"> de entre 610 solicitudes presentadas a nivel nacional, se ha centrado en el colectivo preferente de </w:t>
      </w:r>
      <w:r>
        <w:rPr>
          <w:rFonts w:ascii="Arial" w:hAnsi="Arial" w:eastAsia="Arial" w:cs="Arial"/>
          <w:b/>
          <w:color w:val="0f1115"/>
          <w:sz w:val="24"/>
        </w:rPr>
        <w:t xml:space="preserve">mujeres y jóvenes</w:t>
      </w:r>
      <w:r>
        <w:rPr>
          <w:rFonts w:ascii="Arial" w:hAnsi="Arial" w:eastAsia="Arial" w:cs="Arial"/>
          <w:color w:val="0f1115"/>
          <w:sz w:val="24"/>
        </w:rPr>
        <w:t xml:space="preserve"> de poblaciones de menos de 5.000 habitantes. Sus objetivos han sido </w:t>
      </w:r>
      <w:r>
        <w:rPr>
          <w:rFonts w:ascii="Arial" w:hAnsi="Arial" w:eastAsia="Arial" w:cs="Arial"/>
          <w:b/>
          <w:color w:val="0f1115"/>
          <w:sz w:val="24"/>
        </w:rPr>
        <w:t xml:space="preserve">fomentar los sectores agroalimentario y de restauración como herramienta para frenar la despoblación y poner en valor los productos locales</w:t>
      </w:r>
      <w:r>
        <w:rPr>
          <w:rFonts w:ascii="Arial" w:hAnsi="Arial" w:eastAsia="Arial" w:cs="Arial"/>
          <w:color w:val="0f1115"/>
          <w:sz w:val="24"/>
        </w:rPr>
        <w:t xml:space="preserve">, estando hermanado con otro proyecto comarcal: la Senda de las Cantinas.</w:t>
      </w:r>
      <w:r/>
    </w:p>
    <w:p>
      <w:pPr>
        <w:pStyle w:val="99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480" w:line="450" w:lineRule="atLeast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30"/>
        </w:rPr>
        <w:t xml:space="preserve">Compromiso de futuro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En sus intervenciones, los representantes institucionales destacaron la excelente ejecución y los resultados del proyecto.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El </w:t>
      </w:r>
      <w:r>
        <w:rPr>
          <w:rFonts w:ascii="Arial" w:hAnsi="Arial" w:eastAsia="Arial" w:cs="Arial"/>
          <w:b/>
          <w:color w:val="0f1115"/>
          <w:sz w:val="24"/>
        </w:rPr>
        <w:t xml:space="preserve">presidente del Consejo Comarcal, Olegario Ramón Fernández</w:t>
      </w:r>
      <w:r>
        <w:rPr>
          <w:rFonts w:ascii="Arial" w:hAnsi="Arial" w:eastAsia="Arial" w:cs="Arial"/>
          <w:color w:val="0f1115"/>
          <w:sz w:val="24"/>
        </w:rPr>
        <w:t xml:space="preserve">, definió "Comanda en Ruta" como "</w:t>
      </w:r>
      <w:r>
        <w:rPr>
          <w:rFonts w:ascii="Arial" w:hAnsi="Arial" w:eastAsia="Arial" w:cs="Arial"/>
          <w:b/>
          <w:color w:val="0f1115"/>
          <w:sz w:val="24"/>
        </w:rPr>
        <w:t xml:space="preserve">un proyecto bien pensado, bien ejecutado y que va a generar, a su vez, proyectos de vida digna en el Bierzo para varias personas</w:t>
      </w:r>
      <w:r>
        <w:rPr>
          <w:rFonts w:ascii="Arial" w:hAnsi="Arial" w:eastAsia="Arial" w:cs="Arial"/>
          <w:color w:val="0f1115"/>
          <w:sz w:val="24"/>
        </w:rPr>
        <w:t xml:space="preserve">". Explicó las tres actuaciones básicas del programa –la Gastroescuela, el sector hortícola y las gastro-rutas– y subrayó logros inmediatos: "</w:t>
      </w:r>
      <w:r>
        <w:rPr>
          <w:rFonts w:ascii="Arial" w:hAnsi="Arial" w:eastAsia="Arial" w:cs="Arial"/>
          <w:b/>
          <w:color w:val="0f1115"/>
          <w:sz w:val="24"/>
        </w:rPr>
        <w:t xml:space="preserve">Hemos recibido ya varias peticiones e incluso una persona, antes de finalizar, ya ha empezado a trabajar en el sector de la restauración</w:t>
      </w:r>
      <w:r>
        <w:rPr>
          <w:rFonts w:ascii="Arial" w:hAnsi="Arial" w:eastAsia="Arial" w:cs="Arial"/>
          <w:color w:val="0f1115"/>
          <w:sz w:val="24"/>
        </w:rPr>
        <w:t xml:space="preserve">". Además, anunció que la cantina de Porcarizas, incluida en las gastro-rutas, tiene serias posibilidades de reabrir gracias al interés de tres personas. "</w:t>
      </w:r>
      <w:r>
        <w:rPr>
          <w:rFonts w:ascii="Arial" w:hAnsi="Arial" w:eastAsia="Arial" w:cs="Arial"/>
          <w:b/>
          <w:color w:val="0f1115"/>
          <w:sz w:val="24"/>
        </w:rPr>
        <w:t xml:space="preserve">Creo que es de los proyectos bien hechos, de los que nos hacen estar muy orgullosos... y que al final se van a traducir en empleo, además en el medio rural</w:t>
      </w:r>
      <w:r>
        <w:rPr>
          <w:rFonts w:ascii="Arial" w:hAnsi="Arial" w:eastAsia="Arial" w:cs="Arial"/>
          <w:color w:val="0f1115"/>
          <w:sz w:val="24"/>
        </w:rPr>
        <w:t xml:space="preserve">", afirmó, avanzando que, ante la convocatoria de nuevas ayudas del MITECO, su intención es "</w:t>
      </w:r>
      <w:r>
        <w:rPr>
          <w:rFonts w:ascii="Arial" w:hAnsi="Arial" w:eastAsia="Arial" w:cs="Arial"/>
          <w:b/>
          <w:color w:val="0f1115"/>
          <w:sz w:val="24"/>
        </w:rPr>
        <w:t xml:space="preserve">preparar un proyecto para continuar una fase más</w:t>
      </w:r>
      <w:r>
        <w:rPr>
          <w:rFonts w:ascii="Arial" w:hAnsi="Arial" w:eastAsia="Arial" w:cs="Arial"/>
          <w:color w:val="0f1115"/>
          <w:sz w:val="24"/>
        </w:rPr>
        <w:t xml:space="preserve">", porque "</w:t>
      </w:r>
      <w:r>
        <w:rPr>
          <w:rFonts w:ascii="Arial" w:hAnsi="Arial" w:eastAsia="Arial" w:cs="Arial"/>
          <w:b/>
          <w:color w:val="0f1115"/>
          <w:sz w:val="24"/>
        </w:rPr>
        <w:t xml:space="preserve">es una gestión adecuada de dinero público que genera riqueza, empleo y recuperación</w:t>
      </w:r>
      <w:r>
        <w:rPr>
          <w:rFonts w:ascii="Arial" w:hAnsi="Arial" w:eastAsia="Arial" w:cs="Arial"/>
          <w:color w:val="0f1115"/>
          <w:sz w:val="24"/>
        </w:rPr>
        <w:t xml:space="preserve">".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La </w:t>
      </w:r>
      <w:r>
        <w:rPr>
          <w:rFonts w:ascii="Arial" w:hAnsi="Arial" w:eastAsia="Arial" w:cs="Arial"/>
          <w:b/>
          <w:color w:val="0f1115"/>
          <w:sz w:val="24"/>
        </w:rPr>
        <w:t xml:space="preserve">consejera comarcal de Formación, Empleo y Agenda 2030, Laura Fernández</w:t>
      </w:r>
      <w:r>
        <w:rPr>
          <w:rFonts w:ascii="Arial" w:hAnsi="Arial" w:eastAsia="Arial" w:cs="Arial"/>
          <w:color w:val="0f1115"/>
          <w:sz w:val="24"/>
        </w:rPr>
        <w:t xml:space="preserve">, ratificó ese orgullo y compromiso: "</w:t>
      </w:r>
      <w:r>
        <w:rPr>
          <w:rFonts w:ascii="Arial" w:hAnsi="Arial" w:eastAsia="Arial" w:cs="Arial"/>
          <w:b/>
          <w:color w:val="0f1115"/>
          <w:sz w:val="24"/>
        </w:rPr>
        <w:t xml:space="preserve">Estamos muy orgullosos, vamos a seguir apostando... lo que sí podemos decir con la cabeza bien alta es que desde el Consejo Comarcal se trabaja por y para las personas, y que son proyectos reales</w:t>
      </w:r>
      <w:r>
        <w:rPr>
          <w:rFonts w:ascii="Arial" w:hAnsi="Arial" w:eastAsia="Arial" w:cs="Arial"/>
          <w:color w:val="0f1115"/>
          <w:sz w:val="24"/>
        </w:rPr>
        <w:t xml:space="preserve">". Agradeció la asistencia al acto y concluyó con un esperanzador "</w:t>
      </w:r>
      <w:r>
        <w:rPr>
          <w:rFonts w:ascii="Arial" w:hAnsi="Arial" w:eastAsia="Arial" w:cs="Arial"/>
          <w:b/>
          <w:color w:val="0f1115"/>
          <w:sz w:val="24"/>
        </w:rPr>
        <w:t xml:space="preserve">que os esperamos en la segunda edición, que estamos trabajando ya en ella</w:t>
      </w:r>
      <w:r>
        <w:rPr>
          <w:rFonts w:ascii="Arial" w:hAnsi="Arial" w:eastAsia="Arial" w:cs="Arial"/>
          <w:color w:val="0f1115"/>
          <w:sz w:val="24"/>
        </w:rPr>
        <w:t xml:space="preserve">".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Por su parte, el </w:t>
      </w:r>
      <w:r>
        <w:rPr>
          <w:rFonts w:ascii="Arial" w:hAnsi="Arial" w:eastAsia="Arial" w:cs="Arial"/>
          <w:b/>
          <w:color w:val="0f1115"/>
          <w:sz w:val="24"/>
        </w:rPr>
        <w:t xml:space="preserve">subdelegado del Gobierno en León, Héctor Alaiz</w:t>
      </w:r>
      <w:r>
        <w:rPr>
          <w:rFonts w:ascii="Arial" w:hAnsi="Arial" w:eastAsia="Arial" w:cs="Arial"/>
          <w:color w:val="0f1115"/>
          <w:sz w:val="24"/>
        </w:rPr>
        <w:t xml:space="preserve">, agradeció "</w:t>
      </w:r>
      <w:r>
        <w:rPr>
          <w:rFonts w:ascii="Arial" w:hAnsi="Arial" w:eastAsia="Arial" w:cs="Arial"/>
          <w:b/>
          <w:color w:val="0f1115"/>
          <w:sz w:val="24"/>
        </w:rPr>
        <w:t xml:space="preserve">el trabajo del Consejo Comarcal</w:t>
      </w:r>
      <w:r>
        <w:rPr>
          <w:rFonts w:ascii="Arial" w:hAnsi="Arial" w:eastAsia="Arial" w:cs="Arial"/>
          <w:color w:val="0f1115"/>
          <w:sz w:val="24"/>
        </w:rPr>
        <w:t xml:space="preserve">" y destacó que el proyecto "</w:t>
      </w:r>
      <w:r>
        <w:rPr>
          <w:rFonts w:ascii="Arial" w:hAnsi="Arial" w:eastAsia="Arial" w:cs="Arial"/>
          <w:b/>
          <w:color w:val="0f1115"/>
          <w:sz w:val="24"/>
        </w:rPr>
        <w:t xml:space="preserve">demuestra la apuesta del Gobierno para lo que se denomina el reto demográfico</w:t>
      </w:r>
      <w:r>
        <w:rPr>
          <w:rFonts w:ascii="Arial" w:hAnsi="Arial" w:eastAsia="Arial" w:cs="Arial"/>
          <w:color w:val="0f1115"/>
          <w:sz w:val="24"/>
        </w:rPr>
        <w:t xml:space="preserve">". Resaltó la formación en dos nichos de empleo clave: "</w:t>
      </w:r>
      <w:r>
        <w:rPr>
          <w:rFonts w:ascii="Arial" w:hAnsi="Arial" w:eastAsia="Arial" w:cs="Arial"/>
          <w:b/>
          <w:color w:val="0f1115"/>
          <w:sz w:val="24"/>
        </w:rPr>
        <w:t xml:space="preserve">la restauración de alta calidad</w:t>
      </w:r>
      <w:r>
        <w:rPr>
          <w:rFonts w:ascii="Arial" w:hAnsi="Arial" w:eastAsia="Arial" w:cs="Arial"/>
          <w:color w:val="0f1115"/>
          <w:sz w:val="24"/>
        </w:rPr>
        <w:t xml:space="preserve">" y "</w:t>
      </w:r>
      <w:r>
        <w:rPr>
          <w:rFonts w:ascii="Arial" w:hAnsi="Arial" w:eastAsia="Arial" w:cs="Arial"/>
          <w:b/>
          <w:color w:val="0f1115"/>
          <w:sz w:val="24"/>
        </w:rPr>
        <w:t xml:space="preserve">aquellos nuevos jóvenes que quieran llevar a cabo o emprender en la agricultura</w:t>
      </w:r>
      <w:r>
        <w:rPr>
          <w:rFonts w:ascii="Arial" w:hAnsi="Arial" w:eastAsia="Arial" w:cs="Arial"/>
          <w:color w:val="0f1115"/>
          <w:sz w:val="24"/>
        </w:rPr>
        <w:t xml:space="preserve">". Alaiz enfatizó la importancia de "</w:t>
      </w:r>
      <w:r>
        <w:rPr>
          <w:rFonts w:ascii="Arial" w:hAnsi="Arial" w:eastAsia="Arial" w:cs="Arial"/>
          <w:b/>
          <w:color w:val="0f1115"/>
          <w:sz w:val="24"/>
        </w:rPr>
        <w:t xml:space="preserve">apostar por el producto de proximidad</w:t>
      </w:r>
      <w:r>
        <w:rPr>
          <w:rFonts w:ascii="Arial" w:hAnsi="Arial" w:eastAsia="Arial" w:cs="Arial"/>
          <w:color w:val="0f1115"/>
          <w:sz w:val="24"/>
        </w:rPr>
        <w:t xml:space="preserve">", algo fundamental en una comarca como el Bierzo, donde "</w:t>
      </w:r>
      <w:r>
        <w:rPr>
          <w:rFonts w:ascii="Arial" w:hAnsi="Arial" w:eastAsia="Arial" w:cs="Arial"/>
          <w:b/>
          <w:color w:val="0f1115"/>
          <w:sz w:val="24"/>
        </w:rPr>
        <w:t xml:space="preserve">la gastronomía no puede dejar de ser algo de lo que más se puede resaltar</w:t>
      </w:r>
      <w:r>
        <w:rPr>
          <w:rFonts w:ascii="Arial" w:hAnsi="Arial" w:eastAsia="Arial" w:cs="Arial"/>
          <w:color w:val="0f1115"/>
          <w:sz w:val="24"/>
        </w:rPr>
        <w:t xml:space="preserve">". Consideró el proyecto una herramienta esencial para "</w:t>
      </w:r>
      <w:r>
        <w:rPr>
          <w:rFonts w:ascii="Arial" w:hAnsi="Arial" w:eastAsia="Arial" w:cs="Arial"/>
          <w:b/>
          <w:color w:val="0f1115"/>
          <w:sz w:val="24"/>
        </w:rPr>
        <w:t xml:space="preserve">fijar población</w:t>
      </w:r>
      <w:r>
        <w:rPr>
          <w:rFonts w:ascii="Arial" w:hAnsi="Arial" w:eastAsia="Arial" w:cs="Arial"/>
          <w:color w:val="0f1115"/>
          <w:sz w:val="24"/>
        </w:rPr>
        <w:t xml:space="preserve">" y generar "</w:t>
      </w:r>
      <w:r>
        <w:rPr>
          <w:rFonts w:ascii="Arial" w:hAnsi="Arial" w:eastAsia="Arial" w:cs="Arial"/>
          <w:b/>
          <w:color w:val="0f1115"/>
          <w:sz w:val="24"/>
        </w:rPr>
        <w:t xml:space="preserve">cohesión territorial</w:t>
      </w:r>
      <w:r>
        <w:rPr>
          <w:rFonts w:ascii="Arial" w:hAnsi="Arial" w:eastAsia="Arial" w:cs="Arial"/>
          <w:color w:val="0f1115"/>
          <w:sz w:val="24"/>
        </w:rPr>
        <w:t xml:space="preserve">", finalizando con un reconocimiento a la gestión del Consejo Comarcal.</w:t>
      </w:r>
      <w:r/>
    </w:p>
    <w:p>
      <w:pPr>
        <w:pStyle w:val="99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480" w:line="450" w:lineRule="atLeast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30"/>
        </w:rPr>
        <w:t xml:space="preserve">Resultados de un proyecto integral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“Comanda en Ruta” se estructuró en dos áreas principales: la </w:t>
      </w:r>
      <w:r>
        <w:rPr>
          <w:rFonts w:ascii="Arial" w:hAnsi="Arial" w:eastAsia="Arial" w:cs="Arial"/>
          <w:b/>
          <w:color w:val="0f1115"/>
          <w:sz w:val="24"/>
        </w:rPr>
        <w:t xml:space="preserve">Gastroescuela</w:t>
      </w:r>
      <w:r>
        <w:rPr>
          <w:rFonts w:ascii="Arial" w:hAnsi="Arial" w:eastAsia="Arial" w:cs="Arial"/>
          <w:color w:val="0f1115"/>
          <w:sz w:val="24"/>
        </w:rPr>
        <w:t xml:space="preserve"> y el </w:t>
      </w:r>
      <w:r>
        <w:rPr>
          <w:rFonts w:ascii="Arial" w:hAnsi="Arial" w:eastAsia="Arial" w:cs="Arial"/>
          <w:b/>
          <w:color w:val="0f1115"/>
          <w:sz w:val="24"/>
        </w:rPr>
        <w:t xml:space="preserve">Agroméntoring</w:t>
      </w:r>
      <w:r>
        <w:rPr>
          <w:rFonts w:ascii="Arial" w:hAnsi="Arial" w:eastAsia="Arial" w:cs="Arial"/>
          <w:color w:val="0f1115"/>
          <w:sz w:val="24"/>
        </w:rPr>
        <w:t xml:space="preserve">:</w:t>
      </w:r>
      <w:r/>
    </w:p>
    <w:p>
      <w:pPr>
        <w:pStyle w:val="962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Gastroescuela – Formación y Emprendimiento</w:t>
      </w:r>
      <w:r>
        <w:rPr>
          <w:rFonts w:ascii="Arial" w:hAnsi="Arial" w:eastAsia="Arial" w:cs="Arial"/>
          <w:color w:val="0f1115"/>
          <w:sz w:val="24"/>
        </w:rPr>
        <w:t xml:space="preserve">: Se impartió un curso de excelencia en servicio de restauración y gastronomía de 250 horas, con 7 alumnas y 3 alumnos, de entre 17 y 61 años. Como resultado del apoyo al emprendimiento, se han </w:t>
      </w:r>
      <w:r>
        <w:rPr>
          <w:rFonts w:ascii="Arial" w:hAnsi="Arial" w:eastAsia="Arial" w:cs="Arial"/>
          <w:b/>
          <w:color w:val="0f1115"/>
          <w:sz w:val="24"/>
        </w:rPr>
        <w:t xml:space="preserve">creado 11 nuevas empresas</w:t>
      </w:r>
      <w:r>
        <w:rPr>
          <w:rFonts w:ascii="Arial" w:hAnsi="Arial" w:eastAsia="Arial" w:cs="Arial"/>
          <w:color w:val="0f1115"/>
          <w:sz w:val="24"/>
        </w:rPr>
        <w:t xml:space="preserve"> en el sector, tras atender a 78 personas interesadas.</w:t>
      </w:r>
      <w:r/>
    </w:p>
    <w:p>
      <w:pPr>
        <w:pStyle w:val="962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Gastrorutas – Dinamización del Territorio</w:t>
      </w:r>
      <w:r>
        <w:rPr>
          <w:rFonts w:ascii="Arial" w:hAnsi="Arial" w:eastAsia="Arial" w:cs="Arial"/>
          <w:color w:val="0f1115"/>
          <w:sz w:val="24"/>
        </w:rPr>
        <w:t xml:space="preserve">: El proyecto organizó </w:t>
      </w:r>
      <w:r>
        <w:rPr>
          <w:rFonts w:ascii="Arial" w:hAnsi="Arial" w:eastAsia="Arial" w:cs="Arial"/>
          <w:b/>
          <w:color w:val="0f1115"/>
          <w:sz w:val="24"/>
        </w:rPr>
        <w:t xml:space="preserve">16 rutas gastronómicas</w:t>
      </w:r>
      <w:r>
        <w:rPr>
          <w:rFonts w:ascii="Arial" w:hAnsi="Arial" w:eastAsia="Arial" w:cs="Arial"/>
          <w:color w:val="0f1115"/>
          <w:sz w:val="24"/>
        </w:rPr>
        <w:t xml:space="preserve"> que involucraron a </w:t>
      </w:r>
      <w:r>
        <w:rPr>
          <w:rFonts w:ascii="Arial" w:hAnsi="Arial" w:eastAsia="Arial" w:cs="Arial"/>
          <w:b/>
          <w:color w:val="0f1115"/>
          <w:sz w:val="24"/>
        </w:rPr>
        <w:t xml:space="preserve">19 cantinas rurales</w:t>
      </w:r>
      <w:r>
        <w:rPr>
          <w:rFonts w:ascii="Arial" w:hAnsi="Arial" w:eastAsia="Arial" w:cs="Arial"/>
          <w:color w:val="0f1115"/>
          <w:sz w:val="24"/>
        </w:rPr>
        <w:t xml:space="preserve">, con la participación de </w:t>
      </w:r>
      <w:r>
        <w:rPr>
          <w:rFonts w:ascii="Arial" w:hAnsi="Arial" w:eastAsia="Arial" w:cs="Arial"/>
          <w:b/>
          <w:color w:val="0f1115"/>
          <w:sz w:val="24"/>
        </w:rPr>
        <w:t xml:space="preserve">225 personas</w:t>
      </w:r>
      <w:r>
        <w:rPr>
          <w:rFonts w:ascii="Arial" w:hAnsi="Arial" w:eastAsia="Arial" w:cs="Arial"/>
          <w:color w:val="0f1115"/>
          <w:sz w:val="24"/>
        </w:rPr>
        <w:t xml:space="preserve"> de 30 localidades diferentes y dejando una lista de espera de 102 personas. En total, se ofrecieron 108 degustaciones basadas en 96 recetas distintas.</w:t>
      </w:r>
      <w:r/>
    </w:p>
    <w:p>
      <w:pPr>
        <w:pStyle w:val="962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Agroméntoring – Vinculación con el Sector Primario</w:t>
      </w:r>
      <w:r>
        <w:rPr>
          <w:rFonts w:ascii="Arial" w:hAnsi="Arial" w:eastAsia="Arial" w:cs="Arial"/>
          <w:color w:val="0f1115"/>
          <w:sz w:val="24"/>
        </w:rPr>
        <w:t xml:space="preserve">: Cinco alumnos y alumnas recibieron formación tutelada en testeo agrario y con la formación impartida por personal técnico de los sellos de calidad.</w:t>
      </w:r>
      <w:r/>
    </w:p>
    <w:p>
      <w:pPr>
        <w:pStyle w:val="962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Gastroblog y Recetario</w:t>
      </w:r>
      <w:r>
        <w:rPr>
          <w:rFonts w:ascii="Arial" w:hAnsi="Arial" w:eastAsia="Arial" w:cs="Arial"/>
          <w:color w:val="0f1115"/>
          <w:sz w:val="24"/>
        </w:rPr>
        <w:t xml:space="preserve">: Se creó un blog para la web </w:t>
      </w:r>
      <w:hyperlink r:id="rId14" w:tooltip="https://turismodelbierzo.es/" w:history="1">
        <w:r>
          <w:rPr>
            <w:rStyle w:val="980"/>
            <w:rFonts w:ascii="Arial" w:hAnsi="Arial" w:eastAsia="Arial" w:cs="Arial"/>
            <w:color w:val="3964fe"/>
            <w:sz w:val="24"/>
            <w:u w:val="none"/>
          </w:rPr>
          <w:t xml:space="preserve">turismodelbierzo.es</w:t>
        </w:r>
      </w:hyperlink>
      <w:r>
        <w:rPr>
          <w:rFonts w:ascii="Arial" w:hAnsi="Arial" w:eastAsia="Arial" w:cs="Arial"/>
          <w:color w:val="0f1115"/>
          <w:sz w:val="24"/>
        </w:rPr>
        <w:t xml:space="preserve"> con </w:t>
      </w:r>
      <w:r>
        <w:rPr>
          <w:rFonts w:ascii="Arial" w:hAnsi="Arial" w:eastAsia="Arial" w:cs="Arial"/>
          <w:b/>
          <w:color w:val="0f1115"/>
          <w:sz w:val="24"/>
        </w:rPr>
        <w:t xml:space="preserve">162 recetas</w:t>
      </w:r>
      <w:r>
        <w:rPr>
          <w:rFonts w:ascii="Arial" w:hAnsi="Arial" w:eastAsia="Arial" w:cs="Arial"/>
          <w:color w:val="0f1115"/>
          <w:sz w:val="24"/>
        </w:rPr>
        <w:t xml:space="preserve">, fruto del trabajo de todo el proyecto.</w:t>
      </w:r>
      <w:r/>
    </w:p>
    <w:p>
      <w:pPr>
        <w:pStyle w:val="99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480" w:line="450" w:lineRule="atLeast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30"/>
        </w:rPr>
        <w:t xml:space="preserve">Reconocimiento a las cantinas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Durante el acto de clausura, se entregaron los diplomas al alumnado y se premió a las cantinas participantes en las rutas, que ofrecieron degustaciones gratuitas. Los galardones fueron:</w:t>
      </w:r>
      <w:r/>
    </w:p>
    <w:p>
      <w:pPr>
        <w:pStyle w:val="962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Premio "Pera Conferencia del Bierzo" a la MEJOR DEGUSTACIÓN GENERAL</w:t>
      </w:r>
      <w:r>
        <w:rPr>
          <w:rFonts w:ascii="Arial" w:hAnsi="Arial" w:eastAsia="Arial" w:cs="Arial"/>
          <w:color w:val="0f1115"/>
          <w:sz w:val="24"/>
        </w:rPr>
        <w:t xml:space="preserve">: Bar Gonçalves (Almagarinos - Igüeña).</w:t>
      </w:r>
      <w:r/>
    </w:p>
    <w:p>
      <w:pPr>
        <w:pStyle w:val="962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Premio "Manzana Reineta del Bierzo" a la RECETA MÁS INNOVADORA</w:t>
      </w:r>
      <w:r>
        <w:rPr>
          <w:rFonts w:ascii="Arial" w:hAnsi="Arial" w:eastAsia="Arial" w:cs="Arial"/>
          <w:color w:val="0f1115"/>
          <w:sz w:val="24"/>
        </w:rPr>
        <w:t xml:space="preserve">: Amalavida (Balboa).</w:t>
      </w:r>
      <w:r/>
    </w:p>
    <w:p>
      <w:pPr>
        <w:pStyle w:val="962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Premio "Miel del Bierzo" al MEJOR SERVICIO</w:t>
      </w:r>
      <w:r>
        <w:rPr>
          <w:rFonts w:ascii="Arial" w:hAnsi="Arial" w:eastAsia="Arial" w:cs="Arial"/>
          <w:color w:val="0f1115"/>
          <w:sz w:val="24"/>
        </w:rPr>
        <w:t xml:space="preserve">: Cantina O Fiandón (Villar de Acero - Villafranca del Bierzo).</w:t>
      </w:r>
      <w:r/>
    </w:p>
    <w:p>
      <w:pPr>
        <w:pStyle w:val="962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Premio "Castaña del Bierzo" a la DEGUSTACIÓN MÁS SOSTENIBLE</w:t>
      </w:r>
      <w:r>
        <w:rPr>
          <w:rFonts w:ascii="Arial" w:hAnsi="Arial" w:eastAsia="Arial" w:cs="Arial"/>
          <w:color w:val="0f1115"/>
          <w:sz w:val="24"/>
        </w:rPr>
        <w:t xml:space="preserve">: Cantina de Teixeira (Teixeira - Villafranca del Bierzo).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La jornada finalizó con un degustación de platos elaborados por el alumnado de la gastroescuela.</w:t>
      </w:r>
      <w:r/>
    </w:p>
    <w:p>
      <w:pPr>
        <w:pBdr/>
        <w:spacing/>
        <w:ind/>
        <w:rPr/>
      </w:pPr>
      <w:r/>
      <w:r/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10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11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10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11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1001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9"/>
      <w:pBdr/>
      <w:spacing/>
      <w:ind/>
      <w:rPr/>
    </w:pPr>
    <w:r/>
    <w:r/>
  </w:p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9"/>
      <w:pBdr/>
      <w:spacing/>
      <w:ind/>
      <w:rPr/>
    </w:pPr>
    <w:r/>
    <w:r/>
  </w:p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49FA6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71B2D9AC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5126F02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606519B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13">
    <w:name w:val="Table Grid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Table Grid Light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Plain Table 1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Plain Table 2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Plain Table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Plain Table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Plain Table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1 Light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1 Light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1 Light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1 Light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1 Light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1 Light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2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2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2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2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2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2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3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3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3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3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3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3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4 - Accent 1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4 - Accent 2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4 - Accent 3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4 - Accent 4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4 - Accent 5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4 - Accent 6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5 Dark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5 Dark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5 Dark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5 Dark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5 Dark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5 Dark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6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6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6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6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6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6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Grid Table 7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Grid Table 7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Grid Table 7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Grid Table 7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Grid Table 7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Grid Table 7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1 Light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1 Light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1 Light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1 Light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1 Light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1 Light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2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2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2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2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2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2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3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3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3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3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3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3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4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4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4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4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4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4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5 Dark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5 Dark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5 Dark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5 Dark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5 Dark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5 Dark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6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6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6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6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6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6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st Table 7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st Table 7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st Table 7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st Table 7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st Table 7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st Table 7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Lined - Accent 1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Lined - Accent 2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Lined - Accent 3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Lined - Accent 4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Lined - Accent 5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Lined - Accent 6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 &amp; Lined - Accent 1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&amp; Lined - Accent 2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 &amp; Lined - Accent 3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&amp; Lined - Accent 4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&amp; Lined - Accent 5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&amp; Lined - Accent 6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Bordered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Bordered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5">
    <w:name w:val="Bordered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6">
    <w:name w:val="Bordered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7">
    <w:name w:val="Bordered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8">
    <w:name w:val="Bordered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Heading 1"/>
    <w:basedOn w:val="994"/>
    <w:next w:val="994"/>
    <w:link w:val="94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40">
    <w:name w:val="Heading 2"/>
    <w:basedOn w:val="994"/>
    <w:next w:val="994"/>
    <w:link w:val="94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41">
    <w:name w:val="Heading 4"/>
    <w:basedOn w:val="994"/>
    <w:next w:val="994"/>
    <w:link w:val="95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42">
    <w:name w:val="Heading 5"/>
    <w:basedOn w:val="994"/>
    <w:next w:val="994"/>
    <w:link w:val="95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43">
    <w:name w:val="Heading 6"/>
    <w:basedOn w:val="994"/>
    <w:next w:val="994"/>
    <w:link w:val="95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44">
    <w:name w:val="Heading 7"/>
    <w:basedOn w:val="994"/>
    <w:next w:val="994"/>
    <w:link w:val="95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45">
    <w:name w:val="Heading 8"/>
    <w:basedOn w:val="994"/>
    <w:next w:val="994"/>
    <w:link w:val="95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6">
    <w:name w:val="Heading 9"/>
    <w:basedOn w:val="994"/>
    <w:next w:val="994"/>
    <w:link w:val="95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7">
    <w:name w:val="Heading 1 Char"/>
    <w:basedOn w:val="996"/>
    <w:link w:val="9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8">
    <w:name w:val="Heading 2 Char"/>
    <w:basedOn w:val="996"/>
    <w:link w:val="9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9">
    <w:name w:val="Heading 3 Char"/>
    <w:basedOn w:val="996"/>
    <w:link w:val="99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50">
    <w:name w:val="Heading 4 Char"/>
    <w:basedOn w:val="996"/>
    <w:link w:val="9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51">
    <w:name w:val="Heading 5 Char"/>
    <w:basedOn w:val="996"/>
    <w:link w:val="9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52">
    <w:name w:val="Heading 6 Char"/>
    <w:basedOn w:val="996"/>
    <w:link w:val="9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53">
    <w:name w:val="Heading 7 Char"/>
    <w:basedOn w:val="996"/>
    <w:link w:val="9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54">
    <w:name w:val="Heading 8 Char"/>
    <w:basedOn w:val="996"/>
    <w:link w:val="9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55">
    <w:name w:val="Heading 9 Char"/>
    <w:basedOn w:val="996"/>
    <w:link w:val="9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6">
    <w:name w:val="Title"/>
    <w:basedOn w:val="994"/>
    <w:next w:val="994"/>
    <w:link w:val="95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7">
    <w:name w:val="Title Char"/>
    <w:basedOn w:val="996"/>
    <w:link w:val="95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8">
    <w:name w:val="Subtitle"/>
    <w:basedOn w:val="994"/>
    <w:next w:val="994"/>
    <w:link w:val="95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9">
    <w:name w:val="Subtitle Char"/>
    <w:basedOn w:val="996"/>
    <w:link w:val="95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60">
    <w:name w:val="Quote"/>
    <w:basedOn w:val="994"/>
    <w:next w:val="994"/>
    <w:link w:val="96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61">
    <w:name w:val="Quote Char"/>
    <w:basedOn w:val="996"/>
    <w:link w:val="960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62">
    <w:name w:val="List Paragraph"/>
    <w:basedOn w:val="994"/>
    <w:uiPriority w:val="34"/>
    <w:qFormat/>
    <w:pPr>
      <w:pBdr/>
      <w:spacing/>
      <w:ind w:left="720"/>
      <w:contextualSpacing w:val="true"/>
    </w:pPr>
  </w:style>
  <w:style w:type="character" w:styleId="963">
    <w:name w:val="Intense Emphasis"/>
    <w:basedOn w:val="99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64">
    <w:name w:val="Intense Quote"/>
    <w:basedOn w:val="994"/>
    <w:next w:val="994"/>
    <w:link w:val="965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65">
    <w:name w:val="Intense Quote Char"/>
    <w:basedOn w:val="996"/>
    <w:link w:val="964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6">
    <w:name w:val="Intense Reference"/>
    <w:basedOn w:val="99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7">
    <w:name w:val="No Spacing"/>
    <w:basedOn w:val="994"/>
    <w:uiPriority w:val="1"/>
    <w:qFormat/>
    <w:pPr>
      <w:pBdr/>
      <w:spacing w:after="0" w:line="240" w:lineRule="auto"/>
      <w:ind/>
    </w:pPr>
  </w:style>
  <w:style w:type="character" w:styleId="968">
    <w:name w:val="Subtle Emphasis"/>
    <w:basedOn w:val="99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9">
    <w:name w:val="Emphasis"/>
    <w:basedOn w:val="996"/>
    <w:uiPriority w:val="20"/>
    <w:qFormat/>
    <w:pPr>
      <w:pBdr/>
      <w:spacing/>
      <w:ind/>
    </w:pPr>
    <w:rPr>
      <w:i/>
      <w:iCs/>
    </w:rPr>
  </w:style>
  <w:style w:type="character" w:styleId="970">
    <w:name w:val="Strong"/>
    <w:basedOn w:val="996"/>
    <w:uiPriority w:val="22"/>
    <w:qFormat/>
    <w:pPr>
      <w:pBdr/>
      <w:spacing/>
      <w:ind/>
    </w:pPr>
    <w:rPr>
      <w:b/>
      <w:bCs/>
    </w:rPr>
  </w:style>
  <w:style w:type="character" w:styleId="971">
    <w:name w:val="Subtle Reference"/>
    <w:basedOn w:val="99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72">
    <w:name w:val="Book Title"/>
    <w:basedOn w:val="996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73">
    <w:name w:val="Header Char"/>
    <w:basedOn w:val="996"/>
    <w:link w:val="999"/>
    <w:uiPriority w:val="99"/>
    <w:pPr>
      <w:pBdr/>
      <w:spacing/>
      <w:ind/>
    </w:pPr>
  </w:style>
  <w:style w:type="character" w:styleId="974">
    <w:name w:val="Footer Char"/>
    <w:basedOn w:val="996"/>
    <w:link w:val="1001"/>
    <w:uiPriority w:val="99"/>
    <w:pPr>
      <w:pBdr/>
      <w:spacing/>
      <w:ind/>
    </w:pPr>
  </w:style>
  <w:style w:type="paragraph" w:styleId="975">
    <w:name w:val="Caption"/>
    <w:basedOn w:val="994"/>
    <w:next w:val="99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6">
    <w:name w:val="footnote text"/>
    <w:basedOn w:val="994"/>
    <w:link w:val="97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7">
    <w:name w:val="Footnote Text Char"/>
    <w:basedOn w:val="996"/>
    <w:link w:val="976"/>
    <w:uiPriority w:val="99"/>
    <w:semiHidden/>
    <w:pPr>
      <w:pBdr/>
      <w:spacing/>
      <w:ind/>
    </w:pPr>
    <w:rPr>
      <w:sz w:val="20"/>
      <w:szCs w:val="20"/>
    </w:rPr>
  </w:style>
  <w:style w:type="character" w:styleId="978">
    <w:name w:val="footnote reference"/>
    <w:basedOn w:val="996"/>
    <w:uiPriority w:val="99"/>
    <w:semiHidden/>
    <w:unhideWhenUsed/>
    <w:pPr>
      <w:pBdr/>
      <w:spacing/>
      <w:ind/>
    </w:pPr>
    <w:rPr>
      <w:vertAlign w:val="superscript"/>
    </w:rPr>
  </w:style>
  <w:style w:type="character" w:styleId="979">
    <w:name w:val="Endnote Text Char"/>
    <w:basedOn w:val="996"/>
    <w:link w:val="1003"/>
    <w:uiPriority w:val="99"/>
    <w:semiHidden/>
    <w:pPr>
      <w:pBdr/>
      <w:spacing/>
      <w:ind/>
    </w:pPr>
    <w:rPr>
      <w:sz w:val="20"/>
      <w:szCs w:val="20"/>
    </w:rPr>
  </w:style>
  <w:style w:type="character" w:styleId="980">
    <w:name w:val="Hyperlink"/>
    <w:basedOn w:val="99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81">
    <w:name w:val="FollowedHyperlink"/>
    <w:basedOn w:val="99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82">
    <w:name w:val="toc 1"/>
    <w:basedOn w:val="994"/>
    <w:next w:val="994"/>
    <w:uiPriority w:val="39"/>
    <w:unhideWhenUsed/>
    <w:pPr>
      <w:pBdr/>
      <w:spacing w:after="100"/>
      <w:ind/>
    </w:pPr>
  </w:style>
  <w:style w:type="paragraph" w:styleId="983">
    <w:name w:val="toc 2"/>
    <w:basedOn w:val="994"/>
    <w:next w:val="994"/>
    <w:uiPriority w:val="39"/>
    <w:unhideWhenUsed/>
    <w:pPr>
      <w:pBdr/>
      <w:spacing w:after="100"/>
      <w:ind w:left="220"/>
    </w:pPr>
  </w:style>
  <w:style w:type="paragraph" w:styleId="984">
    <w:name w:val="toc 3"/>
    <w:basedOn w:val="994"/>
    <w:next w:val="994"/>
    <w:uiPriority w:val="39"/>
    <w:unhideWhenUsed/>
    <w:pPr>
      <w:pBdr/>
      <w:spacing w:after="100"/>
      <w:ind w:left="440"/>
    </w:pPr>
  </w:style>
  <w:style w:type="paragraph" w:styleId="985">
    <w:name w:val="toc 4"/>
    <w:basedOn w:val="994"/>
    <w:next w:val="994"/>
    <w:uiPriority w:val="39"/>
    <w:unhideWhenUsed/>
    <w:pPr>
      <w:pBdr/>
      <w:spacing w:after="100"/>
      <w:ind w:left="660"/>
    </w:pPr>
  </w:style>
  <w:style w:type="paragraph" w:styleId="986">
    <w:name w:val="toc 5"/>
    <w:basedOn w:val="994"/>
    <w:next w:val="994"/>
    <w:uiPriority w:val="39"/>
    <w:unhideWhenUsed/>
    <w:pPr>
      <w:pBdr/>
      <w:spacing w:after="100"/>
      <w:ind w:left="880"/>
    </w:pPr>
  </w:style>
  <w:style w:type="paragraph" w:styleId="987">
    <w:name w:val="toc 6"/>
    <w:basedOn w:val="994"/>
    <w:next w:val="994"/>
    <w:uiPriority w:val="39"/>
    <w:unhideWhenUsed/>
    <w:pPr>
      <w:pBdr/>
      <w:spacing w:after="100"/>
      <w:ind w:left="1100"/>
    </w:pPr>
  </w:style>
  <w:style w:type="paragraph" w:styleId="988">
    <w:name w:val="toc 7"/>
    <w:basedOn w:val="994"/>
    <w:next w:val="994"/>
    <w:uiPriority w:val="39"/>
    <w:unhideWhenUsed/>
    <w:pPr>
      <w:pBdr/>
      <w:spacing w:after="100"/>
      <w:ind w:left="1320"/>
    </w:pPr>
  </w:style>
  <w:style w:type="paragraph" w:styleId="989">
    <w:name w:val="toc 8"/>
    <w:basedOn w:val="994"/>
    <w:next w:val="994"/>
    <w:uiPriority w:val="39"/>
    <w:unhideWhenUsed/>
    <w:pPr>
      <w:pBdr/>
      <w:spacing w:after="100"/>
      <w:ind w:left="1540"/>
    </w:pPr>
  </w:style>
  <w:style w:type="paragraph" w:styleId="990">
    <w:name w:val="toc 9"/>
    <w:basedOn w:val="994"/>
    <w:next w:val="994"/>
    <w:uiPriority w:val="39"/>
    <w:unhideWhenUsed/>
    <w:pPr>
      <w:pBdr/>
      <w:spacing w:after="100"/>
      <w:ind w:left="1760"/>
    </w:pPr>
  </w:style>
  <w:style w:type="character" w:styleId="991">
    <w:name w:val="Placeholder Text"/>
    <w:basedOn w:val="996"/>
    <w:uiPriority w:val="99"/>
    <w:semiHidden/>
    <w:pPr>
      <w:pBdr/>
      <w:spacing/>
      <w:ind/>
    </w:pPr>
    <w:rPr>
      <w:color w:val="666666"/>
    </w:rPr>
  </w:style>
  <w:style w:type="paragraph" w:styleId="992">
    <w:name w:val="TOC Heading"/>
    <w:uiPriority w:val="39"/>
    <w:unhideWhenUsed/>
    <w:pPr>
      <w:pBdr/>
      <w:spacing/>
      <w:ind/>
    </w:pPr>
  </w:style>
  <w:style w:type="paragraph" w:styleId="993">
    <w:name w:val="table of figures"/>
    <w:basedOn w:val="994"/>
    <w:next w:val="994"/>
    <w:uiPriority w:val="99"/>
    <w:unhideWhenUsed/>
    <w:pPr>
      <w:pBdr/>
      <w:spacing w:after="0" w:afterAutospacing="0"/>
      <w:ind/>
    </w:pPr>
  </w:style>
  <w:style w:type="paragraph" w:styleId="994" w:default="1">
    <w:name w:val="Normal"/>
    <w:qFormat/>
    <w:pPr>
      <w:pBdr/>
      <w:spacing/>
      <w:ind/>
    </w:pPr>
  </w:style>
  <w:style w:type="paragraph" w:styleId="995">
    <w:name w:val="Heading 3"/>
    <w:basedOn w:val="994"/>
    <w:link w:val="1006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6" w:default="1">
    <w:name w:val="Default Paragraph Font"/>
    <w:uiPriority w:val="1"/>
    <w:semiHidden/>
    <w:unhideWhenUsed/>
    <w:pPr>
      <w:pBdr/>
      <w:spacing/>
      <w:ind/>
    </w:pPr>
  </w:style>
  <w:style w:type="table" w:styleId="99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8" w:default="1">
    <w:name w:val="No List"/>
    <w:uiPriority w:val="99"/>
    <w:semiHidden/>
    <w:unhideWhenUsed/>
    <w:pPr>
      <w:pBdr/>
      <w:spacing/>
      <w:ind/>
    </w:pPr>
  </w:style>
  <w:style w:type="paragraph" w:styleId="999">
    <w:name w:val="Header"/>
    <w:basedOn w:val="994"/>
    <w:link w:val="1000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1000" w:customStyle="1">
    <w:name w:val="Encabezado Car"/>
    <w:basedOn w:val="996"/>
    <w:link w:val="999"/>
    <w:uiPriority w:val="99"/>
    <w:pPr>
      <w:pBdr/>
      <w:spacing/>
      <w:ind/>
    </w:pPr>
  </w:style>
  <w:style w:type="paragraph" w:styleId="1001">
    <w:name w:val="Footer"/>
    <w:basedOn w:val="994"/>
    <w:link w:val="1002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1002" w:customStyle="1">
    <w:name w:val="Pie de página Car"/>
    <w:basedOn w:val="996"/>
    <w:link w:val="1001"/>
    <w:uiPriority w:val="99"/>
    <w:pPr>
      <w:pBdr/>
      <w:spacing/>
      <w:ind/>
    </w:pPr>
  </w:style>
  <w:style w:type="paragraph" w:styleId="1003">
    <w:name w:val="endnote text"/>
    <w:basedOn w:val="994"/>
    <w:link w:val="100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004" w:customStyle="1">
    <w:name w:val="Texto nota al final Car"/>
    <w:basedOn w:val="996"/>
    <w:link w:val="1003"/>
    <w:uiPriority w:val="99"/>
    <w:semiHidden/>
    <w:pPr>
      <w:pBdr/>
      <w:spacing/>
      <w:ind/>
    </w:pPr>
    <w:rPr>
      <w:sz w:val="20"/>
      <w:szCs w:val="20"/>
    </w:rPr>
  </w:style>
  <w:style w:type="character" w:styleId="1005">
    <w:name w:val="endnote reference"/>
    <w:basedOn w:val="996"/>
    <w:uiPriority w:val="99"/>
    <w:semiHidden/>
    <w:unhideWhenUsed/>
    <w:pPr>
      <w:pBdr/>
      <w:spacing/>
      <w:ind/>
    </w:pPr>
    <w:rPr>
      <w:vertAlign w:val="superscript"/>
    </w:rPr>
  </w:style>
  <w:style w:type="character" w:styleId="1006" w:customStyle="1">
    <w:name w:val="Título 3 Car"/>
    <w:basedOn w:val="996"/>
    <w:link w:val="995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7">
    <w:name w:val="Normal (Web)"/>
    <w:basedOn w:val="994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8">
    <w:name w:val="Balloon Text"/>
    <w:basedOn w:val="994"/>
    <w:link w:val="1009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9" w:customStyle="1">
    <w:name w:val="Texto de globo Car"/>
    <w:basedOn w:val="996"/>
    <w:link w:val="1008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10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11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Relationship Id="rId14" Type="http://schemas.openxmlformats.org/officeDocument/2006/relationships/hyperlink" Target="https://turismodelbierzo.es/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5</cp:revision>
  <dcterms:created xsi:type="dcterms:W3CDTF">2025-06-09T06:39:00Z</dcterms:created>
  <dcterms:modified xsi:type="dcterms:W3CDTF">2025-12-18T11:33:02Z</dcterms:modified>
</cp:coreProperties>
</file>