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0"/>
        <w:ind w:right="0" w:firstLine="0" w:lef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b/>
          <w:color w:val="0f1115"/>
          <w:sz w:val="24"/>
        </w:rPr>
        <w:t xml:space="preserve">NOTA DE PRENSA</w:t>
      </w:r>
      <w:r>
        <w:rPr>
          <w:rFonts w:ascii="Segoe UI" w:hAnsi="Segoe UI" w:eastAsia="Segoe UI" w:cs="Segoe U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jc w:val="both"/>
        <w:rPr>
          <w:rFonts w:ascii="Segoe UI" w:hAnsi="Segoe UI" w:cs="Segoe UI"/>
          <w:sz w:val="28"/>
          <w:szCs w:val="28"/>
        </w:rPr>
      </w:pPr>
      <w:r>
        <w:rPr>
          <w:rFonts w:ascii="Segoe UI" w:hAnsi="Segoe UI" w:eastAsia="Segoe UI" w:cs="Segoe UI"/>
          <w:b/>
          <w:color w:val="0f1115"/>
          <w:sz w:val="28"/>
          <w:szCs w:val="28"/>
        </w:rPr>
        <w:t xml:space="preserve">El Consejo Comarcal del Bierzo aprueba la propuesta de adjudicación de 555.724 euros en subvenciones a 50 juntas vecinales dentro del Plan 2024-2025</w:t>
      </w:r>
      <w:r>
        <w:rPr>
          <w:rFonts w:ascii="Segoe UI" w:hAnsi="Segoe UI" w:eastAsia="Segoe UI" w:cs="Segoe UI"/>
        </w:rPr>
      </w:r>
      <w:r>
        <w:rPr>
          <w:rFonts w:ascii="Segoe UI" w:hAnsi="Segoe UI" w:cs="Segoe UI"/>
          <w:sz w:val="28"/>
          <w:szCs w:val="28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i/>
          <w:color w:val="0f1115"/>
          <w:sz w:val="24"/>
        </w:rPr>
        <w:t xml:space="preserve">La Junta de Gobierno ha dado el visto bueno a la propuesta de resolución para el Lote II del Plan, destinado a financiar obras de mejora y equipamiento en pedanías de toda la comarca.</w:t>
      </w:r>
      <w:r>
        <w:rPr>
          <w:rFonts w:ascii="Segoe UI" w:hAnsi="Segoe UI" w:eastAsia="Segoe UI" w:cs="Segoe U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b/>
          <w:color w:val="0f1115"/>
          <w:sz w:val="24"/>
        </w:rPr>
        <w:t xml:space="preserve">12 de diciembre de 2025.</w:t>
      </w:r>
      <w:r>
        <w:rPr>
          <w:rFonts w:ascii="Segoe UI" w:hAnsi="Segoe UI" w:eastAsia="Segoe UI" w:cs="Segoe UI"/>
          <w:color w:val="0f1115"/>
          <w:sz w:val="24"/>
        </w:rPr>
        <w:t xml:space="preserve"> La Junta de Gobierno del Consejo Comarcal del Bierzo ha aprobado hoy la propuesta de resolución para la adjudicación del Lote II del </w:t>
      </w:r>
      <w:r>
        <w:rPr>
          <w:rFonts w:ascii="Segoe UI" w:hAnsi="Segoe UI" w:eastAsia="Segoe UI" w:cs="Segoe UI"/>
          <w:b/>
          <w:color w:val="0f1115"/>
          <w:sz w:val="24"/>
        </w:rPr>
        <w:t xml:space="preserve">Plan de Juntas Vecinales 2024-2025</w:t>
      </w:r>
      <w:r>
        <w:rPr>
          <w:rFonts w:ascii="Segoe UI" w:hAnsi="Segoe UI" w:eastAsia="Segoe UI" w:cs="Segoe UI"/>
          <w:color w:val="0f1115"/>
          <w:sz w:val="24"/>
        </w:rPr>
        <w:t xml:space="preserve">. Esta decisión supone una inversión de </w:t>
      </w:r>
      <w:r>
        <w:rPr>
          <w:rFonts w:ascii="Segoe UI" w:hAnsi="Segoe UI" w:eastAsia="Segoe UI" w:cs="Segoe UI"/>
          <w:b/>
          <w:color w:val="0f1115"/>
          <w:sz w:val="24"/>
        </w:rPr>
        <w:t xml:space="preserve">555.723,93 euros</w:t>
      </w:r>
      <w:r>
        <w:rPr>
          <w:rFonts w:ascii="Segoe UI" w:hAnsi="Segoe UI" w:eastAsia="Segoe UI" w:cs="Segoe UI"/>
          <w:color w:val="0f1115"/>
          <w:sz w:val="24"/>
        </w:rPr>
        <w:t xml:space="preserve"> para la ejecución de 50 proyectos presentados por otras tantas Juntas Vecinales.</w:t>
      </w:r>
      <w:r>
        <w:rPr>
          <w:rFonts w:ascii="Segoe UI" w:hAnsi="Segoe UI" w:eastAsia="Segoe UI" w:cs="Segoe U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color w:val="0f1115"/>
          <w:sz w:val="24"/>
        </w:rPr>
        <w:t xml:space="preserve">Esta línea de subvenciones, convocada el pasado 6 de junio y publicada en el Boletín Oficial de la Provincia (BOP) nº 111 de 12 de junio de 2025, tiene como objetivo financiar actuaciones de mejora de infraestructuras, equipamientos y servicios en los núcl</w:t>
      </w:r>
      <w:r>
        <w:rPr>
          <w:rFonts w:ascii="Segoe UI" w:hAnsi="Segoe UI" w:eastAsia="Segoe UI" w:cs="Segoe UI"/>
          <w:color w:val="0f1115"/>
          <w:sz w:val="24"/>
        </w:rPr>
        <w:t xml:space="preserve">eos de población rurales. Las solicitudes fueron analizadas técnicamente por el Servicio de Asistencia a Municipios (S.A.M.) del Consejo Comarcal, que emitió el correspondiente informe favorable.</w:t>
      </w:r>
      <w:r>
        <w:rPr>
          <w:rFonts w:ascii="Segoe UI" w:hAnsi="Segoe UI" w:eastAsia="Segoe UI" w:cs="Segoe U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b/>
          <w:color w:val="0f1115"/>
          <w:sz w:val="24"/>
        </w:rPr>
        <w:t xml:space="preserve">Diversidad de proyectos</w:t>
      </w:r>
      <w:r>
        <w:rPr>
          <w:rFonts w:ascii="Segoe UI" w:hAnsi="Segoe UI" w:eastAsia="Segoe UI" w:cs="Segoe U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color w:val="0f1115"/>
          <w:sz w:val="24"/>
        </w:rPr>
        <w:t xml:space="preserve">La inversión total valorada de los proyectos subvencionados asciende a </w:t>
      </w:r>
      <w:r>
        <w:rPr>
          <w:rFonts w:ascii="Segoe UI" w:hAnsi="Segoe UI" w:eastAsia="Segoe UI" w:cs="Segoe UI"/>
          <w:b/>
          <w:color w:val="0f1115"/>
          <w:sz w:val="24"/>
        </w:rPr>
        <w:t xml:space="preserve">602.880,05 euros</w:t>
      </w:r>
      <w:r>
        <w:rPr>
          <w:rFonts w:ascii="Segoe UI" w:hAnsi="Segoe UI" w:eastAsia="Segoe UI" w:cs="Segoe UI"/>
          <w:color w:val="0f1115"/>
          <w:sz w:val="24"/>
        </w:rPr>
        <w:t xml:space="preserve">, con un aportación por parte del Consejo de 555.724 euros. Las actuaciones aprobadas son muy variadas y responden a las necesidades específicas de cada localidad.</w:t>
      </w:r>
      <w:r>
        <w:rPr>
          <w:rFonts w:ascii="Segoe UI" w:hAnsi="Segoe UI" w:eastAsia="Segoe UI" w:cs="Segoe UI"/>
        </w:rPr>
      </w:r>
    </w:p>
    <w:p>
      <w:pPr>
        <w:pStyle w:val="956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b/>
          <w:color w:val="0f1115"/>
          <w:sz w:val="24"/>
        </w:rPr>
        <w:t xml:space="preserve">Obras de urbanización y pavimentación:</w:t>
      </w:r>
      <w:r>
        <w:rPr>
          <w:rFonts w:ascii="Segoe UI" w:hAnsi="Segoe UI" w:eastAsia="Segoe UI" w:cs="Segoe UI"/>
          <w:color w:val="0f1115"/>
          <w:sz w:val="24"/>
        </w:rPr>
        <w:t xml:space="preserve"> Mejora de calles, caminos, plazas y aparcamientos en localidades como Espanillo (Arganza), Villagroy (Corullón), Valdelaloba (Toreno) o Villasumil (Valle de Ancares).</w:t>
      </w:r>
      <w:r>
        <w:rPr>
          <w:rFonts w:ascii="Segoe UI" w:hAnsi="Segoe UI" w:eastAsia="Segoe UI" w:cs="Segoe UI"/>
        </w:rPr>
      </w:r>
    </w:p>
    <w:p>
      <w:pPr>
        <w:pStyle w:val="956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b/>
          <w:color w:val="0f1115"/>
          <w:sz w:val="24"/>
        </w:rPr>
        <w:t xml:space="preserve">Equipamientos públicos:</w:t>
      </w:r>
      <w:r>
        <w:rPr>
          <w:rFonts w:ascii="Segoe UI" w:hAnsi="Segoe UI" w:eastAsia="Segoe UI" w:cs="Segoe UI"/>
          <w:color w:val="0f1115"/>
          <w:sz w:val="24"/>
        </w:rPr>
        <w:t xml:space="preserve"> Acondicionamiento de casas del pueblo, salas multiusos, áreas recreativas y espacios públicos en lugares como Castropodame, Fabero, Otero de Naraguantes o Balouta (Valle de Ancares).</w:t>
      </w:r>
      <w:r>
        <w:rPr>
          <w:rFonts w:ascii="Segoe UI" w:hAnsi="Segoe UI" w:eastAsia="Segoe UI" w:cs="Segoe UI"/>
        </w:rPr>
      </w:r>
    </w:p>
    <w:p>
      <w:pPr>
        <w:pStyle w:val="956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b/>
          <w:color w:val="0f1115"/>
          <w:sz w:val="24"/>
        </w:rPr>
        <w:t xml:space="preserve">Infraestructuras hidráulicas y de abastecimiento:</w:t>
      </w:r>
      <w:r>
        <w:rPr>
          <w:rFonts w:ascii="Segoe UI" w:hAnsi="Segoe UI" w:eastAsia="Segoe UI" w:cs="Segoe UI"/>
          <w:color w:val="0f1115"/>
          <w:sz w:val="24"/>
        </w:rPr>
        <w:t xml:space="preserve"> Construcción y acondicionamiento de fuentes, depósitos de agua para incendios, redes de abastecimiento y canalizaciones en pueblos como Langre (Berlanga), Pumarín (Balboa), Campo del Agua (Villafranca) o Villaviciosa de San Miguel (Folgoso).</w:t>
      </w:r>
      <w:r>
        <w:rPr>
          <w:rFonts w:ascii="Segoe UI" w:hAnsi="Segoe UI" w:eastAsia="Segoe UI" w:cs="Segoe UI"/>
        </w:rPr>
      </w:r>
    </w:p>
    <w:p>
      <w:pPr>
        <w:pStyle w:val="956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b/>
          <w:color w:val="0f1115"/>
          <w:sz w:val="24"/>
        </w:rPr>
        <w:t xml:space="preserve">Suministro de maquinaria y herramientas:</w:t>
      </w:r>
      <w:r>
        <w:rPr>
          <w:rFonts w:ascii="Segoe UI" w:hAnsi="Segoe UI" w:eastAsia="Segoe UI" w:cs="Segoe UI"/>
          <w:color w:val="0f1115"/>
          <w:sz w:val="24"/>
        </w:rPr>
        <w:t xml:space="preserve"> Adquisición de desbrozadoras, grupos de soldar, compresores, cestas elevadoras y otro equipamiento para el mantenimiento municipal en entidades como Balboa, San Facundo (Torre del Bierzo) o Matavenero-Poibueno (Torre del Bierzo).</w:t>
      </w:r>
      <w:r>
        <w:rPr>
          <w:rFonts w:ascii="Segoe UI" w:hAnsi="Segoe UI" w:eastAsia="Segoe UI" w:cs="Segoe UI"/>
        </w:rPr>
      </w:r>
    </w:p>
    <w:p>
      <w:pPr>
        <w:pStyle w:val="956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b/>
          <w:color w:val="0f1115"/>
          <w:sz w:val="24"/>
        </w:rPr>
        <w:t xml:space="preserve">Conservación del patrimonio y mejora de elementos singulares:</w:t>
      </w:r>
      <w:r>
        <w:rPr>
          <w:rFonts w:ascii="Segoe UI" w:hAnsi="Segoe UI" w:eastAsia="Segoe UI" w:cs="Segoe UI"/>
          <w:color w:val="0f1115"/>
          <w:sz w:val="24"/>
        </w:rPr>
        <w:t xml:space="preserve"> Restauración de molinos (Tejedo del Sil), fraguas (Villavieja, Priaranza), hornos (Cabañas de la Dornilla, Cubillos del Sil) o fachadas (Salentinos, Páramo del Sil).</w:t>
      </w:r>
      <w:r>
        <w:rPr>
          <w:rFonts w:ascii="Segoe UI" w:hAnsi="Segoe UI" w:eastAsia="Segoe UI" w:cs="Segoe U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b/>
          <w:color w:val="0f1115"/>
          <w:sz w:val="24"/>
        </w:rPr>
        <w:t xml:space="preserve">Plazos para las Juntas Vecinales beneficiarias</w:t>
      </w:r>
      <w:r>
        <w:rPr>
          <w:rFonts w:ascii="Segoe UI" w:hAnsi="Segoe UI" w:eastAsia="Segoe UI" w:cs="Segoe U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color w:val="0f1115"/>
          <w:sz w:val="24"/>
        </w:rPr>
        <w:t xml:space="preserve">Con la aprobación de esta propuesta, se inicia el procedimiento para la formalización de las ayudas. La propuesta recuerda a las Juntas Vecinales beneficiarias varias obligaciones:</w:t>
      </w:r>
      <w:r>
        <w:rPr>
          <w:rFonts w:ascii="Segoe UI" w:hAnsi="Segoe UI" w:eastAsia="Segoe UI" w:cs="Segoe UI"/>
        </w:rPr>
      </w:r>
    </w:p>
    <w:p>
      <w:pPr>
        <w:pStyle w:val="956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color w:val="0f1115"/>
          <w:sz w:val="24"/>
        </w:rPr>
        <w:t xml:space="preserve">Deberán comunicar al S.A.M. la fecha de inicio de las obras para la visita técnica preceptiva.</w:t>
      </w:r>
      <w:r>
        <w:rPr>
          <w:rFonts w:ascii="Segoe UI" w:hAnsi="Segoe UI" w:eastAsia="Segoe UI" w:cs="Segoe UI"/>
        </w:rPr>
      </w:r>
    </w:p>
    <w:p>
      <w:pPr>
        <w:pStyle w:val="956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color w:val="0f1115"/>
          <w:sz w:val="24"/>
        </w:rPr>
        <w:t xml:space="preserve">Tendrán que recoger y colocar en la obra el cartel identificativo de la subvención.</w:t>
      </w:r>
      <w:r>
        <w:rPr>
          <w:rFonts w:ascii="Segoe UI" w:hAnsi="Segoe UI" w:eastAsia="Segoe UI" w:cs="Segoe UI"/>
        </w:rPr>
      </w:r>
    </w:p>
    <w:p>
      <w:pPr>
        <w:pStyle w:val="956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color w:val="0f1115"/>
          <w:sz w:val="24"/>
        </w:rPr>
        <w:t xml:space="preserve">El </w:t>
      </w:r>
      <w:r>
        <w:rPr>
          <w:rFonts w:ascii="Segoe UI" w:hAnsi="Segoe UI" w:eastAsia="Segoe UI" w:cs="Segoe UI"/>
          <w:b/>
          <w:color w:val="0f1115"/>
          <w:sz w:val="24"/>
        </w:rPr>
        <w:t xml:space="preserve">plazo máximo para ejecutar las actuaciones finaliza el 3 de julio de 2026</w:t>
      </w:r>
      <w:r>
        <w:rPr>
          <w:rFonts w:ascii="Segoe UI" w:hAnsi="Segoe UI" w:eastAsia="Segoe UI" w:cs="Segoe UI"/>
          <w:color w:val="0f1115"/>
          <w:sz w:val="24"/>
        </w:rPr>
        <w:t xml:space="preserve">.</w:t>
      </w:r>
      <w:r>
        <w:rPr>
          <w:rFonts w:ascii="Segoe UI" w:hAnsi="Segoe UI" w:eastAsia="Segoe UI" w:cs="Segoe UI"/>
        </w:rPr>
      </w:r>
    </w:p>
    <w:p>
      <w:pPr>
        <w:pStyle w:val="956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jc w:val="both"/>
        <w:rPr>
          <w:rFonts w:ascii="Segoe UI" w:hAnsi="Segoe UI" w:cs="Segoe UI"/>
        </w:rPr>
      </w:pPr>
      <w:r>
        <w:rPr>
          <w:rFonts w:ascii="Segoe UI" w:hAnsi="Segoe UI" w:eastAsia="Segoe UI" w:cs="Segoe UI"/>
          <w:color w:val="0f1115"/>
          <w:sz w:val="24"/>
        </w:rPr>
        <w:t xml:space="preserve">La </w:t>
      </w:r>
      <w:r>
        <w:rPr>
          <w:rFonts w:ascii="Segoe UI" w:hAnsi="Segoe UI" w:eastAsia="Segoe UI" w:cs="Segoe UI"/>
          <w:b/>
          <w:color w:val="0f1115"/>
          <w:sz w:val="24"/>
        </w:rPr>
        <w:t xml:space="preserve">justificación de la subvención deberá presentarse antes del 17 de julio de 2026</w:t>
      </w:r>
      <w:r>
        <w:rPr>
          <w:rFonts w:ascii="Segoe UI" w:hAnsi="Segoe UI" w:eastAsia="Segoe UI" w:cs="Segoe UI"/>
          <w:color w:val="0f1115"/>
          <w:sz w:val="24"/>
        </w:rPr>
        <w:t xml:space="preserve">, incluyendo la documentación requerida (facturas, fotografías, certificados bancarios, etc.).</w:t>
      </w:r>
      <w:r>
        <w:rPr>
          <w:rFonts w:ascii="Segoe UI" w:hAnsi="Segoe UI" w:eastAsia="Segoe UI" w:cs="Segoe UI"/>
        </w:rPr>
      </w:r>
    </w:p>
    <w:p>
      <w:pPr>
        <w:pBdr/>
        <w:spacing/>
        <w:ind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eastAsia="Segoe UI" w:cs="Segoe UI"/>
          <w:sz w:val="24"/>
          <w:szCs w:val="24"/>
        </w:rPr>
      </w:r>
      <w:r>
        <w:rPr>
          <w:rFonts w:ascii="Segoe UI" w:hAnsi="Segoe UI" w:eastAsia="Segoe UI" w:cs="Segoe UI"/>
          <w:sz w:val="24"/>
          <w:szCs w:val="24"/>
        </w:rPr>
      </w:r>
    </w:p>
    <w:sectPr>
      <w:headerReference w:type="default" r:id="rId9"/>
      <w:headerReference w:type="even" r:id="rId10"/>
      <w:headerReference w:type="first" r:id="rId11"/>
      <w:footerReference w:type="default" r:id="rId12"/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Calibri">
    <w:panose1 w:val="020F0502020204030204"/>
  </w:font>
  <w:font w:name="Helvetica Neue">
    <w:panose1 w:val="05040102010807070707"/>
  </w:font>
  <w:font w:name="Tahoma">
    <w:panose1 w:val="020B060403050404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04"/>
      <w:pBdr/>
      <w:tabs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ascii="Calibri" w:hAnsi="Calibri" w:eastAsia="Calibri" w:cs="Calibri"/>
        <w:sz w:val="22"/>
        <w:szCs w:val="22"/>
        <w:lang w:val="es-ES_tradnl"/>
      </w:rPr>
    </w:pPr>
    <w:r>
      <w:rPr>
        <w:rStyle w:val="1005"/>
        <w:rFonts w:ascii="Calibri" w:hAnsi="Calibri"/>
        <w:color w:val="7f7f7f"/>
        <w:sz w:val="16"/>
        <w:szCs w:val="16"/>
      </w:rPr>
      <w:t xml:space="preserve">CONSEJO COMARCAL DE EL BIERZO – Avenida de la Minería, s/n, 24402, Ponferrada (León)</w:t>
    </w:r>
    <w:r>
      <w:rPr>
        <w:rFonts w:ascii="Calibri" w:hAnsi="Calibri" w:eastAsia="Calibri" w:cs="Calibri"/>
        <w:sz w:val="22"/>
        <w:szCs w:val="22"/>
        <w:lang w:val="es-ES_tradnl"/>
      </w:rPr>
    </w:r>
    <w:r>
      <w:rPr>
        <w:rFonts w:ascii="Calibri" w:hAnsi="Calibri" w:eastAsia="Calibri" w:cs="Calibri"/>
        <w:sz w:val="22"/>
        <w:szCs w:val="22"/>
        <w:lang w:val="es-ES_tradnl"/>
      </w:rPr>
    </w:r>
  </w:p>
  <w:p>
    <w:pPr>
      <w:pStyle w:val="1004"/>
      <w:pBdr/>
      <w:tabs>
        <w:tab w:val="left" w:leader="none" w:pos="3471"/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hint="eastAsia"/>
      </w:rPr>
    </w:pPr>
    <w:r>
      <w:rPr>
        <w:rStyle w:val="1005"/>
        <w:rFonts w:ascii="Calibri" w:hAnsi="Calibri"/>
        <w:color w:val="7f7f7f"/>
        <w:sz w:val="16"/>
        <w:szCs w:val="16"/>
      </w:rPr>
      <w:t xml:space="preserve">Tl 987 42 35 51 – www.ccbierzo.com</w:t>
    </w:r>
    <w:r>
      <w:rPr>
        <w:rFonts w:hint="eastAsia"/>
      </w:rPr>
    </w:r>
    <w:r>
      <w:rPr>
        <w:rFonts w:hint="eastAsia"/>
      </w:rPr>
    </w:r>
  </w:p>
  <w:p>
    <w:pPr>
      <w:pStyle w:val="995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/>
    <w:r/>
  </w:p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400040" cy="864870"/>
              <wp:effectExtent l="0" t="0" r="0" b="0"/>
              <wp:docPr id="1" name="0 Imag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Branding_Cabecera.png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400040" cy="8648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425.20pt;height:68.1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  <w:p>
    <w:pPr>
      <w:pStyle w:val="993"/>
      <w:pBdr/>
      <w:spacing/>
      <w:ind/>
      <w:rPr/>
    </w:pPr>
    <w:r/>
    <w:r/>
  </w:p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505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2" name="WordPictureWatermark1459889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2" o:spid="_x0000_s1" type="#_x0000_t75" style="position:absolute;z-index:-4294445056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403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3" name="WordPictureWatermark1459889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1" o:spid="_x0000_s2" type="#_x0000_t75" style="position:absolute;z-index:-4294444032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4" name="WordPictureWatermark1459889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0" o:spid="_x0000_s3" type="#_x0000_t75" style="position:absolute;z-index:-251658240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1F1011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5385A8F8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07">
    <w:name w:val="Table Grid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Table Grid Light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Plain Table 1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Plain Table 2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Plain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Plain Table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Plain Table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1 Light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1 Light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1 Light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1 Light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1 Light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1 Light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1 Light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2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2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2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2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2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2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3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3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3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3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3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3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4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4 - Accent 1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4 - Accent 2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4 - Accent 3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4 - Accent 4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4 - Accent 5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4 - Accent 6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5 Dark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5 Dark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5 Dark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5 Dark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5 Dark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5 Dark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5 Dark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6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6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6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6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6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6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6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7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7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7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7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7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7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7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1 Light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1 Light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1 Light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List Table 1 Light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List Table 1 Light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List Table 1 Light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1 Light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2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2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2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2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2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2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3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3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3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3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3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3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4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4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4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4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4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4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5 Dark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5 Dark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5 Dark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5 Dark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5 Dark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5 Dark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5 Dark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6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6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6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6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6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6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6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7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7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7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7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7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7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7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ned - Accent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ned - Accent 1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ned - Accent 2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ned - Accent 3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ned - Accent 4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ned - Accent 5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ned - Accent 6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Bordered &amp; Lined - Accent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Bordered &amp; Lined - Accent 1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Bordered &amp; Lined - Accent 2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Bordered &amp; Lined - Accent 3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Bordered &amp; Lined - Accent 4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Bordered &amp; Lined - Accent 5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Bordered &amp; Lined - Accent 6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Bordered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Bordered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Bordered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Bordered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Bordered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Bordered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Bordered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3">
    <w:name w:val="Heading 1"/>
    <w:basedOn w:val="988"/>
    <w:next w:val="988"/>
    <w:link w:val="941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34">
    <w:name w:val="Heading 2"/>
    <w:basedOn w:val="988"/>
    <w:next w:val="988"/>
    <w:link w:val="942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35">
    <w:name w:val="Heading 4"/>
    <w:basedOn w:val="988"/>
    <w:next w:val="988"/>
    <w:link w:val="944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36">
    <w:name w:val="Heading 5"/>
    <w:basedOn w:val="988"/>
    <w:next w:val="988"/>
    <w:link w:val="945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37">
    <w:name w:val="Heading 6"/>
    <w:basedOn w:val="988"/>
    <w:next w:val="988"/>
    <w:link w:val="946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38">
    <w:name w:val="Heading 7"/>
    <w:basedOn w:val="988"/>
    <w:next w:val="988"/>
    <w:link w:val="947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39">
    <w:name w:val="Heading 8"/>
    <w:basedOn w:val="988"/>
    <w:next w:val="988"/>
    <w:link w:val="948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40">
    <w:name w:val="Heading 9"/>
    <w:basedOn w:val="988"/>
    <w:next w:val="988"/>
    <w:link w:val="949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41">
    <w:name w:val="Heading 1 Char"/>
    <w:basedOn w:val="990"/>
    <w:link w:val="93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42">
    <w:name w:val="Heading 2 Char"/>
    <w:basedOn w:val="990"/>
    <w:link w:val="93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43">
    <w:name w:val="Heading 3 Char"/>
    <w:basedOn w:val="990"/>
    <w:link w:val="98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44">
    <w:name w:val="Heading 4 Char"/>
    <w:basedOn w:val="990"/>
    <w:link w:val="935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45">
    <w:name w:val="Heading 5 Char"/>
    <w:basedOn w:val="990"/>
    <w:link w:val="93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46">
    <w:name w:val="Heading 6 Char"/>
    <w:basedOn w:val="990"/>
    <w:link w:val="937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47">
    <w:name w:val="Heading 7 Char"/>
    <w:basedOn w:val="990"/>
    <w:link w:val="938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48">
    <w:name w:val="Heading 8 Char"/>
    <w:basedOn w:val="990"/>
    <w:link w:val="93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49">
    <w:name w:val="Heading 9 Char"/>
    <w:basedOn w:val="990"/>
    <w:link w:val="94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50">
    <w:name w:val="Title"/>
    <w:basedOn w:val="988"/>
    <w:next w:val="988"/>
    <w:link w:val="951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51">
    <w:name w:val="Title Char"/>
    <w:basedOn w:val="990"/>
    <w:link w:val="950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52">
    <w:name w:val="Subtitle"/>
    <w:basedOn w:val="988"/>
    <w:next w:val="988"/>
    <w:link w:val="953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53">
    <w:name w:val="Subtitle Char"/>
    <w:basedOn w:val="990"/>
    <w:link w:val="952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54">
    <w:name w:val="Quote"/>
    <w:basedOn w:val="988"/>
    <w:next w:val="988"/>
    <w:link w:val="955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55">
    <w:name w:val="Quote Char"/>
    <w:basedOn w:val="990"/>
    <w:link w:val="954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56">
    <w:name w:val="List Paragraph"/>
    <w:basedOn w:val="988"/>
    <w:uiPriority w:val="34"/>
    <w:qFormat/>
    <w:pPr>
      <w:pBdr/>
      <w:spacing/>
      <w:ind w:left="720"/>
      <w:contextualSpacing w:val="true"/>
    </w:pPr>
  </w:style>
  <w:style w:type="character" w:styleId="957">
    <w:name w:val="Intense Emphasis"/>
    <w:basedOn w:val="99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58">
    <w:name w:val="Intense Quote"/>
    <w:basedOn w:val="988"/>
    <w:next w:val="988"/>
    <w:link w:val="959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59">
    <w:name w:val="Intense Quote Char"/>
    <w:basedOn w:val="990"/>
    <w:link w:val="958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60">
    <w:name w:val="Intense Reference"/>
    <w:basedOn w:val="99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61">
    <w:name w:val="No Spacing"/>
    <w:basedOn w:val="988"/>
    <w:uiPriority w:val="1"/>
    <w:qFormat/>
    <w:pPr>
      <w:pBdr/>
      <w:spacing w:after="0" w:line="240" w:lineRule="auto"/>
      <w:ind/>
    </w:pPr>
  </w:style>
  <w:style w:type="character" w:styleId="962">
    <w:name w:val="Subtle Emphasis"/>
    <w:basedOn w:val="99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63">
    <w:name w:val="Emphasis"/>
    <w:basedOn w:val="990"/>
    <w:uiPriority w:val="20"/>
    <w:qFormat/>
    <w:pPr>
      <w:pBdr/>
      <w:spacing/>
      <w:ind/>
    </w:pPr>
    <w:rPr>
      <w:i/>
      <w:iCs/>
    </w:rPr>
  </w:style>
  <w:style w:type="character" w:styleId="964">
    <w:name w:val="Strong"/>
    <w:basedOn w:val="990"/>
    <w:uiPriority w:val="22"/>
    <w:qFormat/>
    <w:pPr>
      <w:pBdr/>
      <w:spacing/>
      <w:ind/>
    </w:pPr>
    <w:rPr>
      <w:b/>
      <w:bCs/>
    </w:rPr>
  </w:style>
  <w:style w:type="character" w:styleId="965">
    <w:name w:val="Subtle Reference"/>
    <w:basedOn w:val="99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66">
    <w:name w:val="Book Title"/>
    <w:basedOn w:val="990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67">
    <w:name w:val="Header Char"/>
    <w:basedOn w:val="990"/>
    <w:link w:val="993"/>
    <w:uiPriority w:val="99"/>
    <w:pPr>
      <w:pBdr/>
      <w:spacing/>
      <w:ind/>
    </w:pPr>
  </w:style>
  <w:style w:type="character" w:styleId="968">
    <w:name w:val="Footer Char"/>
    <w:basedOn w:val="990"/>
    <w:link w:val="995"/>
    <w:uiPriority w:val="99"/>
    <w:pPr>
      <w:pBdr/>
      <w:spacing/>
      <w:ind/>
    </w:pPr>
  </w:style>
  <w:style w:type="paragraph" w:styleId="969">
    <w:name w:val="Caption"/>
    <w:basedOn w:val="988"/>
    <w:next w:val="98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70">
    <w:name w:val="footnote text"/>
    <w:basedOn w:val="988"/>
    <w:link w:val="97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71">
    <w:name w:val="Footnote Text Char"/>
    <w:basedOn w:val="990"/>
    <w:link w:val="970"/>
    <w:uiPriority w:val="99"/>
    <w:semiHidden/>
    <w:pPr>
      <w:pBdr/>
      <w:spacing/>
      <w:ind/>
    </w:pPr>
    <w:rPr>
      <w:sz w:val="20"/>
      <w:szCs w:val="20"/>
    </w:rPr>
  </w:style>
  <w:style w:type="character" w:styleId="972">
    <w:name w:val="footnote reference"/>
    <w:basedOn w:val="990"/>
    <w:uiPriority w:val="99"/>
    <w:semiHidden/>
    <w:unhideWhenUsed/>
    <w:pPr>
      <w:pBdr/>
      <w:spacing/>
      <w:ind/>
    </w:pPr>
    <w:rPr>
      <w:vertAlign w:val="superscript"/>
    </w:rPr>
  </w:style>
  <w:style w:type="character" w:styleId="973">
    <w:name w:val="Endnote Text Char"/>
    <w:basedOn w:val="990"/>
    <w:link w:val="997"/>
    <w:uiPriority w:val="99"/>
    <w:semiHidden/>
    <w:pPr>
      <w:pBdr/>
      <w:spacing/>
      <w:ind/>
    </w:pPr>
    <w:rPr>
      <w:sz w:val="20"/>
      <w:szCs w:val="20"/>
    </w:rPr>
  </w:style>
  <w:style w:type="character" w:styleId="974">
    <w:name w:val="Hyperlink"/>
    <w:basedOn w:val="990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75">
    <w:name w:val="FollowedHyperlink"/>
    <w:basedOn w:val="99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76">
    <w:name w:val="toc 1"/>
    <w:basedOn w:val="988"/>
    <w:next w:val="988"/>
    <w:uiPriority w:val="39"/>
    <w:unhideWhenUsed/>
    <w:pPr>
      <w:pBdr/>
      <w:spacing w:after="100"/>
      <w:ind/>
    </w:pPr>
  </w:style>
  <w:style w:type="paragraph" w:styleId="977">
    <w:name w:val="toc 2"/>
    <w:basedOn w:val="988"/>
    <w:next w:val="988"/>
    <w:uiPriority w:val="39"/>
    <w:unhideWhenUsed/>
    <w:pPr>
      <w:pBdr/>
      <w:spacing w:after="100"/>
      <w:ind w:left="220"/>
    </w:pPr>
  </w:style>
  <w:style w:type="paragraph" w:styleId="978">
    <w:name w:val="toc 3"/>
    <w:basedOn w:val="988"/>
    <w:next w:val="988"/>
    <w:uiPriority w:val="39"/>
    <w:unhideWhenUsed/>
    <w:pPr>
      <w:pBdr/>
      <w:spacing w:after="100"/>
      <w:ind w:left="440"/>
    </w:pPr>
  </w:style>
  <w:style w:type="paragraph" w:styleId="979">
    <w:name w:val="toc 4"/>
    <w:basedOn w:val="988"/>
    <w:next w:val="988"/>
    <w:uiPriority w:val="39"/>
    <w:unhideWhenUsed/>
    <w:pPr>
      <w:pBdr/>
      <w:spacing w:after="100"/>
      <w:ind w:left="660"/>
    </w:pPr>
  </w:style>
  <w:style w:type="paragraph" w:styleId="980">
    <w:name w:val="toc 5"/>
    <w:basedOn w:val="988"/>
    <w:next w:val="988"/>
    <w:uiPriority w:val="39"/>
    <w:unhideWhenUsed/>
    <w:pPr>
      <w:pBdr/>
      <w:spacing w:after="100"/>
      <w:ind w:left="880"/>
    </w:pPr>
  </w:style>
  <w:style w:type="paragraph" w:styleId="981">
    <w:name w:val="toc 6"/>
    <w:basedOn w:val="988"/>
    <w:next w:val="988"/>
    <w:uiPriority w:val="39"/>
    <w:unhideWhenUsed/>
    <w:pPr>
      <w:pBdr/>
      <w:spacing w:after="100"/>
      <w:ind w:left="1100"/>
    </w:pPr>
  </w:style>
  <w:style w:type="paragraph" w:styleId="982">
    <w:name w:val="toc 7"/>
    <w:basedOn w:val="988"/>
    <w:next w:val="988"/>
    <w:uiPriority w:val="39"/>
    <w:unhideWhenUsed/>
    <w:pPr>
      <w:pBdr/>
      <w:spacing w:after="100"/>
      <w:ind w:left="1320"/>
    </w:pPr>
  </w:style>
  <w:style w:type="paragraph" w:styleId="983">
    <w:name w:val="toc 8"/>
    <w:basedOn w:val="988"/>
    <w:next w:val="988"/>
    <w:uiPriority w:val="39"/>
    <w:unhideWhenUsed/>
    <w:pPr>
      <w:pBdr/>
      <w:spacing w:after="100"/>
      <w:ind w:left="1540"/>
    </w:pPr>
  </w:style>
  <w:style w:type="paragraph" w:styleId="984">
    <w:name w:val="toc 9"/>
    <w:basedOn w:val="988"/>
    <w:next w:val="988"/>
    <w:uiPriority w:val="39"/>
    <w:unhideWhenUsed/>
    <w:pPr>
      <w:pBdr/>
      <w:spacing w:after="100"/>
      <w:ind w:left="1760"/>
    </w:pPr>
  </w:style>
  <w:style w:type="character" w:styleId="985">
    <w:name w:val="Placeholder Text"/>
    <w:basedOn w:val="990"/>
    <w:uiPriority w:val="99"/>
    <w:semiHidden/>
    <w:pPr>
      <w:pBdr/>
      <w:spacing/>
      <w:ind/>
    </w:pPr>
    <w:rPr>
      <w:color w:val="666666"/>
    </w:rPr>
  </w:style>
  <w:style w:type="paragraph" w:styleId="986">
    <w:name w:val="TOC Heading"/>
    <w:uiPriority w:val="39"/>
    <w:unhideWhenUsed/>
    <w:pPr>
      <w:pBdr/>
      <w:spacing/>
      <w:ind/>
    </w:pPr>
  </w:style>
  <w:style w:type="paragraph" w:styleId="987">
    <w:name w:val="table of figures"/>
    <w:basedOn w:val="988"/>
    <w:next w:val="988"/>
    <w:uiPriority w:val="99"/>
    <w:unhideWhenUsed/>
    <w:pPr>
      <w:pBdr/>
      <w:spacing w:after="0" w:afterAutospacing="0"/>
      <w:ind/>
    </w:pPr>
  </w:style>
  <w:style w:type="paragraph" w:styleId="988" w:default="1">
    <w:name w:val="Normal"/>
    <w:qFormat/>
    <w:pPr>
      <w:pBdr/>
      <w:spacing/>
      <w:ind/>
    </w:pPr>
  </w:style>
  <w:style w:type="paragraph" w:styleId="989">
    <w:name w:val="Heading 3"/>
    <w:basedOn w:val="988"/>
    <w:link w:val="1000"/>
    <w:uiPriority w:val="9"/>
    <w:qFormat/>
    <w:pPr>
      <w:pBdr/>
      <w:spacing w:after="100" w:afterAutospacing="1" w:before="100" w:beforeAutospacing="1" w:line="240" w:lineRule="auto"/>
      <w:ind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character" w:styleId="990" w:default="1">
    <w:name w:val="Default Paragraph Font"/>
    <w:uiPriority w:val="1"/>
    <w:semiHidden/>
    <w:unhideWhenUsed/>
    <w:pPr>
      <w:pBdr/>
      <w:spacing/>
      <w:ind/>
    </w:pPr>
  </w:style>
  <w:style w:type="table" w:styleId="991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92" w:default="1">
    <w:name w:val="No List"/>
    <w:uiPriority w:val="99"/>
    <w:semiHidden/>
    <w:unhideWhenUsed/>
    <w:pPr>
      <w:pBdr/>
      <w:spacing/>
      <w:ind/>
    </w:pPr>
  </w:style>
  <w:style w:type="paragraph" w:styleId="993">
    <w:name w:val="Header"/>
    <w:basedOn w:val="988"/>
    <w:link w:val="994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4" w:customStyle="1">
    <w:name w:val="Encabezado Car"/>
    <w:basedOn w:val="990"/>
    <w:link w:val="993"/>
    <w:uiPriority w:val="99"/>
    <w:pPr>
      <w:pBdr/>
      <w:spacing/>
      <w:ind/>
    </w:pPr>
  </w:style>
  <w:style w:type="paragraph" w:styleId="995">
    <w:name w:val="Footer"/>
    <w:basedOn w:val="988"/>
    <w:link w:val="996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6" w:customStyle="1">
    <w:name w:val="Pie de página Car"/>
    <w:basedOn w:val="990"/>
    <w:link w:val="995"/>
    <w:uiPriority w:val="99"/>
    <w:pPr>
      <w:pBdr/>
      <w:spacing/>
      <w:ind/>
    </w:pPr>
  </w:style>
  <w:style w:type="paragraph" w:styleId="997">
    <w:name w:val="endnote text"/>
    <w:basedOn w:val="988"/>
    <w:link w:val="99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98" w:customStyle="1">
    <w:name w:val="Texto nota al final Car"/>
    <w:basedOn w:val="990"/>
    <w:link w:val="997"/>
    <w:uiPriority w:val="99"/>
    <w:semiHidden/>
    <w:pPr>
      <w:pBdr/>
      <w:spacing/>
      <w:ind/>
    </w:pPr>
    <w:rPr>
      <w:sz w:val="20"/>
      <w:szCs w:val="20"/>
    </w:rPr>
  </w:style>
  <w:style w:type="character" w:styleId="999">
    <w:name w:val="endnote reference"/>
    <w:basedOn w:val="990"/>
    <w:uiPriority w:val="99"/>
    <w:semiHidden/>
    <w:unhideWhenUsed/>
    <w:pPr>
      <w:pBdr/>
      <w:spacing/>
      <w:ind/>
    </w:pPr>
    <w:rPr>
      <w:vertAlign w:val="superscript"/>
    </w:rPr>
  </w:style>
  <w:style w:type="character" w:styleId="1000" w:customStyle="1">
    <w:name w:val="Título 3 Car"/>
    <w:basedOn w:val="990"/>
    <w:link w:val="989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paragraph" w:styleId="1001">
    <w:name w:val="Normal (Web)"/>
    <w:basedOn w:val="988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1002">
    <w:name w:val="Balloon Text"/>
    <w:basedOn w:val="988"/>
    <w:link w:val="1003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1003" w:customStyle="1">
    <w:name w:val="Texto de globo Car"/>
    <w:basedOn w:val="990"/>
    <w:link w:val="1002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1004" w:customStyle="1">
    <w:name w:val="Cabecera y pie"/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right" w:leader="none" w:pos="9020"/>
      </w:tabs>
      <w:spacing w:after="0" w:line="240" w:lineRule="auto"/>
      <w:ind/>
    </w:pPr>
    <w:rPr>
      <w:rFonts w:ascii="Helvetica Neue" w:hAnsi="Helvetica Neue" w:eastAsia="Arial Unicode MS" w:cs="Arial Unicode MS"/>
      <w:color w:val="000000"/>
      <w:sz w:val="24"/>
      <w:szCs w:val="24"/>
      <w:lang w:eastAsia="es-ES"/>
      <w14:textOutline w14:w="0" w14:cap="flat" w14:cmpd="sng" w14:algn="ctr">
        <w14:noFill/>
        <w14:prstDash w14:val="solid"/>
        <w14:bevel/>
      </w14:textOutline>
    </w:rPr>
  </w:style>
  <w:style w:type="character" w:styleId="1005" w:customStyle="1">
    <w:name w:val="Ninguno"/>
    <w:pPr>
      <w:pBdr/>
      <w:spacing/>
      <w:ind/>
    </w:pPr>
    <w:rPr>
      <w:lang w:val="es-ES_tradn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922C-4740-4FD8-B199-2FAAA587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4</cp:revision>
  <dcterms:created xsi:type="dcterms:W3CDTF">2025-06-09T06:39:00Z</dcterms:created>
  <dcterms:modified xsi:type="dcterms:W3CDTF">2025-12-12T07:48:41Z</dcterms:modified>
</cp:coreProperties>
</file>