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Style w:val="989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before="0" w:line="240" w:lineRule="auto"/>
        <w:ind w:right="0" w:firstLine="0" w:left="0"/>
        <w:jc w:val="center"/>
        <w:rPr>
          <w:rFonts w:ascii="Calibri" w:hAnsi="Calibri" w:cs="Calibri"/>
          <w:b/>
          <w:bCs/>
          <w:color w:val="0f1115"/>
          <w:sz w:val="30"/>
          <w:szCs w:val="30"/>
        </w:rPr>
      </w:pPr>
      <w:r>
        <w:rPr>
          <w:rFonts w:ascii="Calibri" w:hAnsi="Calibri" w:eastAsia="Calibri" w:cs="Calibri"/>
          <w:b/>
          <w:color w:val="0f1115"/>
          <w:sz w:val="30"/>
        </w:rPr>
        <w:t xml:space="preserve">NOTA DE PRENSA </w:t>
      </w:r>
      <w:r>
        <w:rPr>
          <w:rFonts w:ascii="Calibri" w:hAnsi="Calibri" w:eastAsia="Calibri" w:cs="Calibri"/>
          <w:sz w:val="30"/>
        </w:rPr>
      </w:r>
    </w:p>
    <w:p>
      <w:pPr>
        <w:pStyle w:val="989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before="0" w:line="240" w:lineRule="auto"/>
        <w:ind w:right="0" w:firstLine="0" w:left="0"/>
        <w:jc w:val="center"/>
        <w:rPr>
          <w:rFonts w:ascii="Calibri" w:hAnsi="Calibri" w:cs="Calibri"/>
          <w:sz w:val="18"/>
          <w:szCs w:val="18"/>
        </w:rPr>
      </w:pPr>
      <w:r>
        <w:rPr>
          <w:rFonts w:ascii="Calibri" w:hAnsi="Calibri" w:eastAsia="Calibri" w:cs="Calibri"/>
          <w:b/>
          <w:color w:val="0f1115"/>
          <w:sz w:val="18"/>
          <w:szCs w:val="18"/>
        </w:rPr>
        <w:t xml:space="preserve">(Lunes, 17 de noviembre de 2025)</w:t>
      </w:r>
      <w:r>
        <w:rPr>
          <w:rFonts w:ascii="Calibri" w:hAnsi="Calibri" w:eastAsia="Calibri" w:cs="Calibri"/>
          <w:sz w:val="18"/>
          <w:szCs w:val="18"/>
        </w:rPr>
      </w:r>
      <w:r>
        <w:rPr>
          <w:rFonts w:ascii="Calibri" w:hAnsi="Calibri" w:eastAsia="Calibri" w:cs="Calibri"/>
          <w:sz w:val="18"/>
          <w:szCs w:val="18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jc w:val="both"/>
        <w:rPr>
          <w:rFonts w:ascii="Calibri" w:hAnsi="Calibri" w:cs="Calibri"/>
          <w:sz w:val="36"/>
          <w:szCs w:val="36"/>
        </w:rPr>
      </w:pPr>
      <w:r>
        <w:rPr>
          <w:rFonts w:ascii="Calibri" w:hAnsi="Calibri" w:eastAsia="Calibri" w:cs="Calibri"/>
          <w:b/>
          <w:color w:val="0f1115"/>
          <w:sz w:val="36"/>
          <w:szCs w:val="36"/>
        </w:rPr>
        <w:t xml:space="preserve">El Consejo Comarcal del Bierzo adjudica 577.588,92 euros en subvenciones a 50 Juntas Vecinales el primer lote del Plan de Pequeñas Obras 2024-2025</w:t>
      </w:r>
      <w:r>
        <w:rPr>
          <w:rFonts w:ascii="Calibri" w:hAnsi="Calibri" w:eastAsia="Calibri" w:cs="Calibri"/>
          <w:sz w:val="36"/>
          <w:szCs w:val="36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rPr>
          <w:rFonts w:ascii="Calibri" w:hAnsi="Calibri" w:cs="Calibri"/>
        </w:rPr>
      </w:pPr>
      <w:r>
        <w:rPr>
          <w:rFonts w:ascii="Calibri" w:hAnsi="Calibri" w:eastAsia="Calibri" w:cs="Calibri"/>
          <w:color w:val="0f1115"/>
          <w:sz w:val="24"/>
        </w:rPr>
        <w:t xml:space="preserve">La Junta de Gobierno del Consejo Comarcal del Bierzo ha aprobado por unanimidad el acuerdo de adjudicación de las subvenciones correspondientes al "Lote I" del </w:t>
      </w:r>
      <w:r>
        <w:rPr>
          <w:rFonts w:ascii="Calibri" w:hAnsi="Calibri" w:eastAsia="Calibri" w:cs="Calibri"/>
          <w:b/>
          <w:color w:val="0f1115"/>
          <w:sz w:val="24"/>
        </w:rPr>
        <w:t xml:space="preserve">Plan Juntas Vecinales 2024-2025 para la Comarca del Bierzo</w:t>
      </w:r>
      <w:r>
        <w:rPr>
          <w:rFonts w:ascii="Calibri" w:hAnsi="Calibri" w:eastAsia="Calibri" w:cs="Calibri"/>
          <w:color w:val="0f1115"/>
          <w:sz w:val="24"/>
        </w:rPr>
        <w:t xml:space="preserve">.</w:t>
      </w:r>
      <w:r>
        <w:rPr>
          <w:rFonts w:ascii="Calibri" w:hAnsi="Calibri" w:eastAsia="Calibri" w:cs="Calibri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rPr>
          <w:rFonts w:ascii="Calibri" w:hAnsi="Calibri" w:cs="Calibri"/>
        </w:rPr>
      </w:pPr>
      <w:r>
        <w:rPr>
          <w:rFonts w:ascii="Calibri" w:hAnsi="Calibri" w:eastAsia="Calibri" w:cs="Calibri"/>
          <w:color w:val="0f1115"/>
          <w:sz w:val="24"/>
        </w:rPr>
        <w:t xml:space="preserve">Este acuerdo supone la concesión de un total de </w:t>
      </w:r>
      <w:r>
        <w:rPr>
          <w:rFonts w:ascii="Calibri" w:hAnsi="Calibri" w:eastAsia="Calibri" w:cs="Calibri"/>
          <w:b/>
          <w:color w:val="0f1115"/>
          <w:sz w:val="24"/>
        </w:rPr>
        <w:t xml:space="preserve">577.588,92 euros</w:t>
      </w:r>
      <w:r>
        <w:rPr>
          <w:rFonts w:ascii="Calibri" w:hAnsi="Calibri" w:eastAsia="Calibri" w:cs="Calibri"/>
          <w:color w:val="0f1115"/>
          <w:sz w:val="24"/>
        </w:rPr>
        <w:t xml:space="preserve"> en ayudas a </w:t>
      </w:r>
      <w:r>
        <w:rPr>
          <w:rFonts w:ascii="Calibri" w:hAnsi="Calibri" w:eastAsia="Calibri" w:cs="Calibri"/>
          <w:b/>
          <w:color w:val="0f1115"/>
          <w:sz w:val="24"/>
        </w:rPr>
        <w:t xml:space="preserve">50 Juntas Vecinales</w:t>
      </w:r>
      <w:r>
        <w:rPr>
          <w:rFonts w:ascii="Calibri" w:hAnsi="Calibri" w:eastAsia="Calibri" w:cs="Calibri"/>
          <w:color w:val="0f1115"/>
          <w:sz w:val="24"/>
        </w:rPr>
        <w:t xml:space="preserve"> de 25 municipios diferentes de la comarca. La inversión total valorada de los proyectos presentados asciende a </w:t>
      </w:r>
      <w:r>
        <w:rPr>
          <w:rFonts w:ascii="Calibri" w:hAnsi="Calibri" w:eastAsia="Calibri" w:cs="Calibri"/>
          <w:b/>
          <w:color w:val="0f1115"/>
          <w:sz w:val="24"/>
        </w:rPr>
        <w:t xml:space="preserve">633.727,67 euros.</w:t>
      </w:r>
      <w:r>
        <w:rPr>
          <w:rFonts w:ascii="Calibri" w:hAnsi="Calibri" w:eastAsia="Calibri" w:cs="Calibri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rPr>
          <w:rFonts w:ascii="Calibri" w:hAnsi="Calibri" w:cs="Calibri"/>
        </w:rPr>
      </w:pPr>
      <w:r>
        <w:rPr>
          <w:rFonts w:ascii="Calibri" w:hAnsi="Calibri" w:eastAsia="Calibri" w:cs="Calibri"/>
          <w:color w:val="0f1115"/>
          <w:sz w:val="24"/>
        </w:rPr>
        <w:t xml:space="preserve">Las subvenciones están destinadas a financiar una amplia variedad de actuaciones dirigidas a mejorar las infraestructuras y la calidad de vida en los pueblos. Entre lo</w:t>
      </w:r>
      <w:r>
        <w:rPr>
          <w:rFonts w:ascii="Calibri" w:hAnsi="Calibri" w:eastAsia="Calibri" w:cs="Calibri"/>
          <w:color w:val="0f1115"/>
          <w:sz w:val="24"/>
        </w:rPr>
        <w:t xml:space="preserve">s proyectos aprobados se incluyen:</w:t>
      </w:r>
      <w:r>
        <w:rPr>
          <w:rFonts w:ascii="Calibri" w:hAnsi="Calibri" w:eastAsia="Calibri" w:cs="Calibri"/>
        </w:rPr>
      </w:r>
    </w:p>
    <w:p>
      <w:pPr>
        <w:pStyle w:val="956"/>
        <w:numPr>
          <w:ilvl w:val="0"/>
          <w:numId w:val="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before="0"/>
        <w:ind w:right="0"/>
        <w:rPr>
          <w:rFonts w:ascii="Calibri" w:hAnsi="Calibri" w:cs="Calibri"/>
        </w:rPr>
      </w:pPr>
      <w:r>
        <w:rPr>
          <w:rFonts w:ascii="Calibri" w:hAnsi="Calibri" w:eastAsia="Calibri" w:cs="Calibri"/>
          <w:b/>
          <w:color w:val="0f1115"/>
          <w:sz w:val="24"/>
        </w:rPr>
        <w:t xml:space="preserve">Urbanización y pavimentación de calles y caminos</w:t>
      </w:r>
      <w:r>
        <w:rPr>
          <w:rFonts w:ascii="Calibri" w:hAnsi="Calibri" w:eastAsia="Calibri" w:cs="Calibri"/>
          <w:color w:val="0f1115"/>
          <w:sz w:val="24"/>
        </w:rPr>
        <w:t xml:space="preserve"> en localidades como Santalavilla (Benuza), Yebra (Benuza) o La Ribera de Folgoso.</w:t>
      </w:r>
      <w:r>
        <w:rPr>
          <w:rFonts w:ascii="Calibri" w:hAnsi="Calibri" w:eastAsia="Calibri" w:cs="Calibri"/>
        </w:rPr>
      </w:r>
    </w:p>
    <w:p>
      <w:pPr>
        <w:pStyle w:val="956"/>
        <w:numPr>
          <w:ilvl w:val="0"/>
          <w:numId w:val="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before="0"/>
        <w:ind w:right="0"/>
        <w:rPr>
          <w:rFonts w:ascii="Calibri" w:hAnsi="Calibri" w:cs="Calibri"/>
        </w:rPr>
      </w:pPr>
      <w:r>
        <w:rPr>
          <w:rFonts w:ascii="Calibri" w:hAnsi="Calibri" w:eastAsia="Calibri" w:cs="Calibri"/>
          <w:b/>
          <w:color w:val="0f1115"/>
          <w:sz w:val="24"/>
        </w:rPr>
        <w:t xml:space="preserve">Reforma y acondicionamiento de edificios de uso público</w:t>
      </w:r>
      <w:r>
        <w:rPr>
          <w:rFonts w:ascii="Calibri" w:hAnsi="Calibri" w:eastAsia="Calibri" w:cs="Calibri"/>
          <w:color w:val="0f1115"/>
          <w:sz w:val="24"/>
        </w:rPr>
        <w:t xml:space="preserve">, como las antiguas escuelas de La Chana (Borrenes) o la Casa Concejo de Villaverde de la Abadía (Carracedelo).</w:t>
      </w:r>
      <w:r>
        <w:rPr>
          <w:rFonts w:ascii="Calibri" w:hAnsi="Calibri" w:eastAsia="Calibri" w:cs="Calibri"/>
        </w:rPr>
      </w:r>
    </w:p>
    <w:p>
      <w:pPr>
        <w:pStyle w:val="956"/>
        <w:numPr>
          <w:ilvl w:val="0"/>
          <w:numId w:val="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before="0"/>
        <w:ind w:right="0"/>
        <w:rPr>
          <w:rFonts w:ascii="Calibri" w:hAnsi="Calibri" w:cs="Calibri"/>
        </w:rPr>
      </w:pPr>
      <w:r>
        <w:rPr>
          <w:rFonts w:ascii="Calibri" w:hAnsi="Calibri" w:eastAsia="Calibri" w:cs="Calibri"/>
          <w:b/>
          <w:color w:val="0f1115"/>
          <w:sz w:val="24"/>
        </w:rPr>
        <w:t xml:space="preserve">Creación y mejora de áreas recreativas y parques infantiles</w:t>
      </w:r>
      <w:r>
        <w:rPr>
          <w:rFonts w:ascii="Calibri" w:hAnsi="Calibri" w:eastAsia="Calibri" w:cs="Calibri"/>
          <w:color w:val="0f1115"/>
          <w:sz w:val="24"/>
        </w:rPr>
        <w:t xml:space="preserve"> en Corullón, San Andrés de Montejos (Ponferrada) y Villar de Acero (Villafranca del Bierzo).</w:t>
      </w:r>
      <w:r>
        <w:rPr>
          <w:rFonts w:ascii="Calibri" w:hAnsi="Calibri" w:eastAsia="Calibri" w:cs="Calibri"/>
        </w:rPr>
      </w:r>
    </w:p>
    <w:p>
      <w:pPr>
        <w:pStyle w:val="956"/>
        <w:numPr>
          <w:ilvl w:val="0"/>
          <w:numId w:val="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before="0"/>
        <w:ind w:right="0"/>
        <w:rPr>
          <w:rFonts w:ascii="Calibri" w:hAnsi="Calibri" w:cs="Calibri"/>
        </w:rPr>
      </w:pPr>
      <w:r>
        <w:rPr>
          <w:rFonts w:ascii="Calibri" w:hAnsi="Calibri" w:eastAsia="Calibri" w:cs="Calibri"/>
          <w:b/>
          <w:color w:val="0f1115"/>
          <w:sz w:val="24"/>
        </w:rPr>
        <w:t xml:space="preserve">Obras de infraestructura básica</w:t>
      </w:r>
      <w:r>
        <w:rPr>
          <w:rFonts w:ascii="Calibri" w:hAnsi="Calibri" w:eastAsia="Calibri" w:cs="Calibri"/>
          <w:color w:val="0f1115"/>
          <w:sz w:val="24"/>
        </w:rPr>
        <w:t xml:space="preserve"> como muros de contención, sistemas de drenaje, alumbrado público y arreglo de fuentes y lavaderos.</w:t>
      </w:r>
      <w:r>
        <w:rPr>
          <w:rFonts w:ascii="Calibri" w:hAnsi="Calibri" w:eastAsia="Calibri" w:cs="Calibri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rPr>
          <w:rFonts w:ascii="Calibri" w:hAnsi="Calibri" w:cs="Calibri"/>
        </w:rPr>
      </w:pPr>
      <w:r>
        <w:rPr>
          <w:rFonts w:ascii="Calibri" w:hAnsi="Calibri" w:eastAsia="Calibri" w:cs="Calibri"/>
          <w:color w:val="0f1115"/>
          <w:sz w:val="24"/>
        </w:rPr>
        <w:t xml:space="preserve">El acuerdo se tomó tras el examen técnico de las solicitudes por parte del Servicio de Asistencia a Municipios (S.A.M.) del Consejo Comarcal, que emitió un informe favorable, así como el preceptivo informe de fiscalización.</w:t>
      </w:r>
      <w:r>
        <w:rPr>
          <w:rFonts w:ascii="Calibri" w:hAnsi="Calibri" w:eastAsia="Calibri" w:cs="Calibri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rPr>
          <w:rFonts w:ascii="Calibri" w:hAnsi="Calibri" w:cs="Calibri"/>
        </w:rPr>
      </w:pPr>
      <w:r>
        <w:rPr>
          <w:rFonts w:ascii="Calibri" w:hAnsi="Calibri" w:eastAsia="Calibri" w:cs="Calibri"/>
          <w:color w:val="0f1115"/>
          <w:sz w:val="24"/>
        </w:rPr>
        <w:t xml:space="preserve">El acuerdo establece los siguientes plazos para la ejecución y justificación de los proyectos:</w:t>
      </w:r>
      <w:r>
        <w:rPr>
          <w:rFonts w:ascii="Calibri" w:hAnsi="Calibri" w:eastAsia="Calibri" w:cs="Calibri"/>
        </w:rPr>
      </w:r>
    </w:p>
    <w:p>
      <w:pPr>
        <w:pStyle w:val="956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before="0"/>
        <w:ind w:right="0"/>
        <w:rPr>
          <w:rFonts w:ascii="Calibri" w:hAnsi="Calibri" w:cs="Calibri"/>
        </w:rPr>
      </w:pPr>
      <w:r>
        <w:rPr>
          <w:rFonts w:ascii="Calibri" w:hAnsi="Calibri" w:eastAsia="Calibri" w:cs="Calibri"/>
          <w:b/>
          <w:color w:val="0f1115"/>
          <w:sz w:val="24"/>
        </w:rPr>
        <w:t xml:space="preserve">Comunicación del inicio:</w:t>
      </w:r>
      <w:r>
        <w:rPr>
          <w:rFonts w:ascii="Calibri" w:hAnsi="Calibri" w:eastAsia="Calibri" w:cs="Calibri"/>
          <w:color w:val="0f1115"/>
          <w:sz w:val="24"/>
        </w:rPr>
        <w:t xml:space="preserve"> Las Juntas Vecinales beneficiarias deberán comunicar al S.A.M. la fecha de inicio de las obras para que se realice la visita técnica previa.</w:t>
      </w:r>
      <w:r>
        <w:rPr>
          <w:rFonts w:ascii="Calibri" w:hAnsi="Calibri" w:eastAsia="Calibri" w:cs="Calibri"/>
        </w:rPr>
      </w:r>
    </w:p>
    <w:p>
      <w:pPr>
        <w:pStyle w:val="956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before="0"/>
        <w:ind w:right="0"/>
        <w:rPr>
          <w:rFonts w:ascii="Calibri" w:hAnsi="Calibri" w:cs="Calibri"/>
        </w:rPr>
      </w:pPr>
      <w:r>
        <w:rPr>
          <w:rFonts w:ascii="Calibri" w:hAnsi="Calibri" w:eastAsia="Calibri" w:cs="Calibri"/>
          <w:b/>
          <w:color w:val="0f1115"/>
          <w:sz w:val="24"/>
        </w:rPr>
        <w:t xml:space="preserve">Ejecución de las actuaciones:</w:t>
      </w:r>
      <w:r>
        <w:rPr>
          <w:rFonts w:ascii="Calibri" w:hAnsi="Calibri" w:eastAsia="Calibri" w:cs="Calibri"/>
          <w:color w:val="0f1115"/>
          <w:sz w:val="24"/>
        </w:rPr>
        <w:t xml:space="preserve"> El plazo máximo para ejecutar las obras finaliza el </w:t>
      </w:r>
      <w:r>
        <w:rPr>
          <w:rFonts w:ascii="Calibri" w:hAnsi="Calibri" w:eastAsia="Calibri" w:cs="Calibri"/>
          <w:b/>
          <w:color w:val="0f1115"/>
          <w:sz w:val="24"/>
        </w:rPr>
        <w:t xml:space="preserve">3 de julio de 2026</w:t>
      </w:r>
      <w:r>
        <w:rPr>
          <w:rFonts w:ascii="Calibri" w:hAnsi="Calibri" w:eastAsia="Calibri" w:cs="Calibri"/>
          <w:color w:val="0f1115"/>
          <w:sz w:val="24"/>
        </w:rPr>
        <w:t xml:space="preserve">.</w:t>
      </w:r>
      <w:r>
        <w:rPr>
          <w:rFonts w:ascii="Calibri" w:hAnsi="Calibri" w:eastAsia="Calibri" w:cs="Calibri"/>
        </w:rPr>
      </w:r>
    </w:p>
    <w:p>
      <w:pPr>
        <w:pStyle w:val="956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before="0"/>
        <w:ind w:right="0"/>
        <w:rPr>
          <w:rFonts w:ascii="Calibri" w:hAnsi="Calibri" w:cs="Calibri"/>
        </w:rPr>
      </w:pPr>
      <w:r>
        <w:rPr>
          <w:rFonts w:ascii="Calibri" w:hAnsi="Calibri" w:eastAsia="Calibri" w:cs="Calibri"/>
          <w:b/>
          <w:color w:val="0f1115"/>
          <w:sz w:val="24"/>
        </w:rPr>
        <w:t xml:space="preserve">Justificación de la subvención:</w:t>
      </w:r>
      <w:r>
        <w:rPr>
          <w:rFonts w:ascii="Calibri" w:hAnsi="Calibri" w:eastAsia="Calibri" w:cs="Calibri"/>
          <w:color w:val="0f1115"/>
          <w:sz w:val="24"/>
        </w:rPr>
        <w:t xml:space="preserve"> El plazo para presentar la documentación justificativa finaliza el </w:t>
      </w:r>
      <w:r>
        <w:rPr>
          <w:rFonts w:ascii="Calibri" w:hAnsi="Calibri" w:eastAsia="Calibri" w:cs="Calibri"/>
          <w:b/>
          <w:color w:val="0f1115"/>
          <w:sz w:val="24"/>
        </w:rPr>
        <w:t xml:space="preserve">17 de julio de 2026</w:t>
      </w:r>
      <w:r>
        <w:rPr>
          <w:rFonts w:ascii="Calibri" w:hAnsi="Calibri" w:eastAsia="Calibri" w:cs="Calibri"/>
          <w:color w:val="0f1115"/>
          <w:sz w:val="24"/>
        </w:rPr>
        <w:t xml:space="preserve">.</w:t>
      </w:r>
      <w:r>
        <w:rPr>
          <w:rFonts w:ascii="Calibri" w:hAnsi="Calibri" w:eastAsia="Calibri" w:cs="Calibri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rPr>
          <w:rFonts w:ascii="Calibri" w:hAnsi="Calibri" w:cs="Calibri"/>
        </w:rPr>
      </w:pPr>
      <w:r>
        <w:rPr>
          <w:rFonts w:ascii="Calibri" w:hAnsi="Calibri" w:eastAsia="Calibri" w:cs="Calibri"/>
          <w:color w:val="0f1115"/>
          <w:sz w:val="24"/>
        </w:rPr>
        <w:t xml:space="preserve">En las próximas semanas se procederá a la resolución y adjudicación del resto de lotes de subvenciones dentro de este mismo plan.</w:t>
      </w:r>
      <w:r>
        <w:rPr>
          <w:rFonts w:ascii="Calibri" w:hAnsi="Calibri" w:eastAsia="Calibri" w:cs="Calibri"/>
          <w:sz w:val="24"/>
          <w:szCs w:val="24"/>
        </w:rPr>
      </w:r>
      <w:r>
        <w:rPr>
          <w:rFonts w:ascii="Calibri" w:hAnsi="Calibri" w:eastAsia="Calibri" w:cs="Calibri"/>
          <w:sz w:val="24"/>
        </w:rPr>
      </w:r>
    </w:p>
    <w:sectPr>
      <w:headerReference w:type="default" r:id="rId9"/>
      <w:headerReference w:type="even" r:id="rId10"/>
      <w:headerReference w:type="first" r:id="rId11"/>
      <w:footerReference w:type="default" r:id="rId12"/>
      <w:footnotePr/>
      <w:endnotePr/>
      <w:type w:val="nextPage"/>
      <w:pgSz w:h="16838" w:orient="portrait" w:w="11906"/>
      <w:pgMar w:top="1417" w:right="1701" w:bottom="1417" w:left="1701" w:header="708" w:footer="708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Calibri">
    <w:panose1 w:val="020F0502020204030204"/>
  </w:font>
  <w:font w:name="Helvetica Neue">
    <w:panose1 w:val="05040102010807070707"/>
  </w:font>
  <w:font w:name="Tahoma">
    <w:panose1 w:val="020B0604030504040204"/>
  </w:font>
  <w:font w:name="Times New Roman">
    <w:panose1 w:val="02020603050405020304"/>
  </w:font>
  <w:font w:name="Arial Unicode MS">
    <w:panose1 w:val="020B0604020202020204"/>
  </w:font>
  <w:font w:name="Arial">
    <w:panose1 w:val="020B060402020202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1004"/>
      <w:pBdr/>
      <w:tabs>
        <w:tab w:val="center" w:leader="none" w:pos="4819"/>
        <w:tab w:val="clear" w:leader="none" w:pos="9020"/>
        <w:tab w:val="right" w:leader="none" w:pos="9638"/>
      </w:tabs>
      <w:spacing/>
      <w:ind/>
      <w:jc w:val="center"/>
      <w:rPr>
        <w:rFonts w:ascii="Calibri" w:hAnsi="Calibri" w:eastAsia="Calibri" w:cs="Calibri"/>
        <w:sz w:val="22"/>
        <w:szCs w:val="22"/>
        <w:lang w:val="es-ES_tradnl"/>
      </w:rPr>
    </w:pPr>
    <w:r>
      <w:rPr>
        <w:rStyle w:val="1005"/>
        <w:rFonts w:ascii="Calibri" w:hAnsi="Calibri"/>
        <w:color w:val="7f7f7f"/>
        <w:sz w:val="16"/>
        <w:szCs w:val="16"/>
      </w:rPr>
      <w:t xml:space="preserve">CONSEJO COMARCAL DE EL BIERZO – Avenida de la Minería, s/n, 24402, Ponferrada (León)</w:t>
    </w:r>
    <w:r>
      <w:rPr>
        <w:rFonts w:ascii="Calibri" w:hAnsi="Calibri" w:eastAsia="Calibri" w:cs="Calibri"/>
        <w:sz w:val="22"/>
        <w:szCs w:val="22"/>
        <w:lang w:val="es-ES_tradnl"/>
      </w:rPr>
    </w:r>
    <w:r>
      <w:rPr>
        <w:rFonts w:ascii="Calibri" w:hAnsi="Calibri" w:eastAsia="Calibri" w:cs="Calibri"/>
        <w:sz w:val="22"/>
        <w:szCs w:val="22"/>
        <w:lang w:val="es-ES_tradnl"/>
      </w:rPr>
    </w:r>
  </w:p>
  <w:p>
    <w:pPr>
      <w:pStyle w:val="1004"/>
      <w:pBdr/>
      <w:tabs>
        <w:tab w:val="left" w:leader="none" w:pos="3471"/>
        <w:tab w:val="center" w:leader="none" w:pos="4819"/>
        <w:tab w:val="clear" w:leader="none" w:pos="9020"/>
        <w:tab w:val="right" w:leader="none" w:pos="9638"/>
      </w:tabs>
      <w:spacing/>
      <w:ind/>
      <w:jc w:val="center"/>
      <w:rPr>
        <w:rFonts w:hint="eastAsia"/>
      </w:rPr>
    </w:pPr>
    <w:r>
      <w:rPr>
        <w:rStyle w:val="1005"/>
        <w:rFonts w:ascii="Calibri" w:hAnsi="Calibri"/>
        <w:color w:val="7f7f7f"/>
        <w:sz w:val="16"/>
        <w:szCs w:val="16"/>
      </w:rPr>
      <w:t xml:space="preserve">Tl 987 42 35 51 – www.ccbierzo.com</w:t>
    </w:r>
    <w:r>
      <w:rPr>
        <w:rFonts w:hint="eastAsia"/>
      </w:rPr>
    </w:r>
    <w:r>
      <w:rPr>
        <w:rFonts w:hint="eastAsia"/>
      </w:rPr>
    </w:r>
  </w:p>
  <w:p>
    <w:pPr>
      <w:pStyle w:val="995"/>
      <w:pBdr/>
      <w:spacing/>
      <w:ind/>
      <w:rPr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93"/>
      <w:pBdr/>
      <w:spacing/>
      <w:ind/>
      <w:rPr/>
    </w:pPr>
    <w:r/>
    <w:r/>
  </w:p>
  <w:p>
    <w:pPr>
      <w:pStyle w:val="993"/>
      <w:pBdr/>
      <w:spacing/>
      <w:ind/>
      <w:rPr/>
    </w:pPr>
    <w:r>
      <w:rPr>
        <w:lang w:eastAsia="es-ES"/>
      </w:rPr>
      <mc:AlternateContent>
        <mc:Choice Requires="wpg">
          <w:drawing>
            <wp:inline xmlns:wp="http://schemas.openxmlformats.org/drawingml/2006/wordprocessingDrawing" distT="0" distB="0" distL="0" distR="0">
              <wp:extent cx="5400040" cy="864870"/>
              <wp:effectExtent l="0" t="0" r="0" b="0"/>
              <wp:docPr id="1" name="0 Imagen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CoBranding_Cabecera.png"/>
                      <pic:cNvPicPr>
                        <a:picLocks noChangeAspect="1"/>
                      </pic:cNvPicPr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5400040" cy="86487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0" o:spid="_x0000_s0" type="#_x0000_t75" style="width:425.20pt;height:68.10pt;mso-wrap-distance-left:0.00pt;mso-wrap-distance-top:0.00pt;mso-wrap-distance-right:0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  <w:p>
    <w:pPr>
      <w:pStyle w:val="993"/>
      <w:pBdr/>
      <w:spacing/>
      <w:ind/>
      <w:rPr/>
    </w:pPr>
    <w:r/>
    <w:r/>
  </w:p>
  <w:p>
    <w:pPr>
      <w:pStyle w:val="993"/>
      <w:pBdr/>
      <w:spacing/>
      <w:ind/>
      <w:rPr/>
    </w:pPr>
    <w:r>
      <w:rPr>
        <w:lang w:eastAsia="es-ES"/>
      </w:rP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4294445056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4304030" cy="7327265"/>
              <wp:effectExtent l="0" t="0" r="0" b="0"/>
              <wp:wrapNone/>
              <wp:docPr id="2" name="WordPictureWatermark14598892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 descr="marca_agua_NotasPrensa"/>
                      <pic:cNvPicPr/>
                      <pic:nvPr/>
                    </pic:nvPicPr>
                    <pic:blipFill>
                      <a:blip r:embed="rId2"/>
                      <a:stretch/>
                    </pic:blipFill>
                    <pic:spPr bwMode="auto">
                      <a:xfrm>
                        <a:off x="0" y="0"/>
                        <a:ext cx="4304030" cy="732726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4598892" o:spid="_x0000_s1" type="#_x0000_t75" style="position:absolute;z-index:-4294445056;o:allowoverlap:true;o:allowincell:false;mso-position-horizontal-relative:margin;mso-position-horizontal:center;mso-position-vertical-relative:margin;mso-position-vertical:center;width:338.90pt;height:576.95pt;mso-wrap-distance-left:9.00pt;mso-wrap-distance-top:0.00pt;mso-wrap-distance-right:9.00pt;mso-wrap-distance-bottom:0.00pt;z-index:1;" stroked="false">
              <v:imagedata r:id="rId2" o:title=""/>
              <o:lock v:ext="edit" rotation="t"/>
            </v:shape>
          </w:pict>
        </mc:Fallback>
      </mc:AlternateContent>
    </w:r>
    <w:r/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93"/>
      <w:pBdr/>
      <w:spacing/>
      <w:ind/>
      <w:rPr/>
    </w:pPr>
    <w:r>
      <w:rPr>
        <w:lang w:eastAsia="es-ES"/>
      </w:rP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4294444032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4304030" cy="7327265"/>
              <wp:effectExtent l="0" t="0" r="0" b="0"/>
              <wp:wrapNone/>
              <wp:docPr id="3" name="WordPictureWatermark14598891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 descr="marca_agua_NotasPrensa"/>
                      <pic:cNvPicPr/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4304030" cy="732726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4598891" o:spid="_x0000_s2" type="#_x0000_t75" style="position:absolute;z-index:-4294444032;o:allowoverlap:true;o:allowincell:false;mso-position-horizontal-relative:margin;mso-position-horizontal:center;mso-position-vertical-relative:margin;mso-position-vertical:center;width:338.90pt;height:576.95pt;mso-wrap-distance-left:9.00pt;mso-wrap-distance-top:0.00pt;mso-wrap-distance-right:9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93"/>
      <w:pBdr/>
      <w:spacing/>
      <w:ind/>
      <w:rPr/>
    </w:pPr>
    <w:r>
      <w:rPr>
        <w:lang w:eastAsia="es-ES"/>
      </w:rP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251658240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4304030" cy="7327265"/>
              <wp:effectExtent l="0" t="0" r="0" b="0"/>
              <wp:wrapNone/>
              <wp:docPr id="4" name="WordPictureWatermark14598890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 descr="marca_agua_NotasPrensa"/>
                      <pic:cNvPicPr/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4304030" cy="732726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4598890" o:spid="_x0000_s3" type="#_x0000_t75" style="position:absolute;z-index:-251658240;o:allowoverlap:true;o:allowincell:false;mso-position-horizontal-relative:margin;mso-position-horizontal:center;mso-position-vertical-relative:margin;mso-position-vertical:center;width:338.90pt;height:576.95pt;mso-wrap-distance-left:9.00pt;mso-wrap-distance-top:0.00pt;mso-wrap-distance-right:9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D60DD7D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">
    <w:nsid w:val="37DA6301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2">
    <w:nsid w:val="7999D866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hyphenationZone w:val="425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807">
    <w:name w:val="Table Grid"/>
    <w:basedOn w:val="99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Table Grid Light"/>
    <w:basedOn w:val="99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Plain Table 1"/>
    <w:basedOn w:val="99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Plain Table 2"/>
    <w:basedOn w:val="99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Plain Table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Plain Table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Plain Table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Grid Table 1 Light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Grid Table 1 Light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Grid Table 1 Light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Grid Table 1 Light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Grid Table 1 Light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Grid Table 1 Light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Grid Table 1 Light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Grid Table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Grid Table 2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Grid Table 2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Grid Table 2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Grid Table 2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Grid Table 2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Grid Table 2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Grid Table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Grid Table 3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Grid Table 3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Grid Table 3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Grid Table 3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Grid Table 3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Grid Table 3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Grid Table 4"/>
    <w:basedOn w:val="99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Grid Table 4 - Accent 1"/>
    <w:basedOn w:val="99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Grid Table 4 - Accent 2"/>
    <w:basedOn w:val="99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Grid Table 4 - Accent 3"/>
    <w:basedOn w:val="99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Grid Table 4 - Accent 4"/>
    <w:basedOn w:val="99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Grid Table 4 - Accent 5"/>
    <w:basedOn w:val="99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Grid Table 4 - Accent 6"/>
    <w:basedOn w:val="99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Grid Table 5 Dark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Grid Table 5 Dark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Grid Table 5 Dark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Grid Table 5 Dark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Grid Table 5 Dark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Grid Table 5 Dark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Grid Table 5 Dark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Grid Table 6 Colorful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Grid Table 6 Colorful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1">
    <w:name w:val="Grid Table 6 Colorful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2">
    <w:name w:val="Grid Table 6 Colorful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3">
    <w:name w:val="Grid Table 6 Colorful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4">
    <w:name w:val="Grid Table 6 Colorful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Grid Table 6 Colorful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6">
    <w:name w:val="Grid Table 7 Colorful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7">
    <w:name w:val="Grid Table 7 Colorful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8">
    <w:name w:val="Grid Table 7 Colorful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9">
    <w:name w:val="Grid Table 7 Colorful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0">
    <w:name w:val="Grid Table 7 Colorful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1">
    <w:name w:val="Grid Table 7 Colorful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Grid Table 7 Colorful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3">
    <w:name w:val="List Table 1 Light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4">
    <w:name w:val="List Table 1 Light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5">
    <w:name w:val="List Table 1 Light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6">
    <w:name w:val="List Table 1 Light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7">
    <w:name w:val="List Table 1 Light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8">
    <w:name w:val="List Table 1 Light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9">
    <w:name w:val="List Table 1 Light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0">
    <w:name w:val="List Table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1">
    <w:name w:val="List Table 2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2">
    <w:name w:val="List Table 2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3">
    <w:name w:val="List Table 2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4">
    <w:name w:val="List Table 2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5">
    <w:name w:val="List Table 2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6">
    <w:name w:val="List Table 2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7">
    <w:name w:val="List Table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8">
    <w:name w:val="List Table 3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9">
    <w:name w:val="List Table 3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0">
    <w:name w:val="List Table 3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1">
    <w:name w:val="List Table 3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2">
    <w:name w:val="List Table 3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3">
    <w:name w:val="List Table 3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4">
    <w:name w:val="List Table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5">
    <w:name w:val="List Table 4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6">
    <w:name w:val="List Table 4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7">
    <w:name w:val="List Table 4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8">
    <w:name w:val="List Table 4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9">
    <w:name w:val="List Table 4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0">
    <w:name w:val="List Table 4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1">
    <w:name w:val="List Table 5 Dark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2">
    <w:name w:val="List Table 5 Dark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3">
    <w:name w:val="List Table 5 Dark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4">
    <w:name w:val="List Table 5 Dark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5">
    <w:name w:val="List Table 5 Dark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6">
    <w:name w:val="List Table 5 Dark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7">
    <w:name w:val="List Table 5 Dark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8">
    <w:name w:val="List Table 6 Colorful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9">
    <w:name w:val="List Table 6 Colorful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0">
    <w:name w:val="List Table 6 Colorful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1">
    <w:name w:val="List Table 6 Colorful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2">
    <w:name w:val="List Table 6 Colorful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3">
    <w:name w:val="List Table 6 Colorful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4">
    <w:name w:val="List Table 6 Colorful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5">
    <w:name w:val="List Table 7 Colorful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6">
    <w:name w:val="List Table 7 Colorful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7">
    <w:name w:val="List Table 7 Colorful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8">
    <w:name w:val="List Table 7 Colorful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9">
    <w:name w:val="List Table 7 Colorful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0">
    <w:name w:val="List Table 7 Colorful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1">
    <w:name w:val="List Table 7 Colorful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2">
    <w:name w:val="Lined - Accent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3">
    <w:name w:val="Lined - Accent 1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4">
    <w:name w:val="Lined - Accent 2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5">
    <w:name w:val="Lined - Accent 3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6">
    <w:name w:val="Lined - Accent 4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7">
    <w:name w:val="Lined - Accent 5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8">
    <w:name w:val="Lined - Accent 6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9">
    <w:name w:val="Bordered &amp; Lined - Accent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0">
    <w:name w:val="Bordered &amp; Lined - Accent 1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1">
    <w:name w:val="Bordered &amp; Lined - Accent 2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2">
    <w:name w:val="Bordered &amp; Lined - Accent 3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3">
    <w:name w:val="Bordered &amp; Lined - Accent 4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4">
    <w:name w:val="Bordered &amp; Lined - Accent 5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5">
    <w:name w:val="Bordered &amp; Lined - Accent 6"/>
    <w:basedOn w:val="99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6">
    <w:name w:val="Bordered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7">
    <w:name w:val="Bordered - Accent 1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8">
    <w:name w:val="Bordered - Accent 2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9">
    <w:name w:val="Bordered - Accent 3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0">
    <w:name w:val="Bordered - Accent 4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1">
    <w:name w:val="Bordered - Accent 5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2">
    <w:name w:val="Bordered - Accent 6"/>
    <w:basedOn w:val="99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933">
    <w:name w:val="Heading 1"/>
    <w:basedOn w:val="988"/>
    <w:next w:val="988"/>
    <w:link w:val="941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934">
    <w:name w:val="Heading 2"/>
    <w:basedOn w:val="988"/>
    <w:next w:val="988"/>
    <w:link w:val="942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935">
    <w:name w:val="Heading 4"/>
    <w:basedOn w:val="988"/>
    <w:next w:val="988"/>
    <w:link w:val="944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936">
    <w:name w:val="Heading 5"/>
    <w:basedOn w:val="988"/>
    <w:next w:val="988"/>
    <w:link w:val="945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937">
    <w:name w:val="Heading 6"/>
    <w:basedOn w:val="988"/>
    <w:next w:val="988"/>
    <w:link w:val="946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938">
    <w:name w:val="Heading 7"/>
    <w:basedOn w:val="988"/>
    <w:next w:val="988"/>
    <w:link w:val="947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939">
    <w:name w:val="Heading 8"/>
    <w:basedOn w:val="988"/>
    <w:next w:val="988"/>
    <w:link w:val="948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940">
    <w:name w:val="Heading 9"/>
    <w:basedOn w:val="988"/>
    <w:next w:val="988"/>
    <w:link w:val="949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941">
    <w:name w:val="Heading 1 Char"/>
    <w:basedOn w:val="990"/>
    <w:link w:val="93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942">
    <w:name w:val="Heading 2 Char"/>
    <w:basedOn w:val="990"/>
    <w:link w:val="934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943">
    <w:name w:val="Heading 3 Char"/>
    <w:basedOn w:val="990"/>
    <w:link w:val="98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944">
    <w:name w:val="Heading 4 Char"/>
    <w:basedOn w:val="990"/>
    <w:link w:val="935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945">
    <w:name w:val="Heading 5 Char"/>
    <w:basedOn w:val="990"/>
    <w:link w:val="936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946">
    <w:name w:val="Heading 6 Char"/>
    <w:basedOn w:val="990"/>
    <w:link w:val="937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947">
    <w:name w:val="Heading 7 Char"/>
    <w:basedOn w:val="990"/>
    <w:link w:val="938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948">
    <w:name w:val="Heading 8 Char"/>
    <w:basedOn w:val="990"/>
    <w:link w:val="939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949">
    <w:name w:val="Heading 9 Char"/>
    <w:basedOn w:val="990"/>
    <w:link w:val="940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950">
    <w:name w:val="Title"/>
    <w:basedOn w:val="988"/>
    <w:next w:val="988"/>
    <w:link w:val="951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951">
    <w:name w:val="Title Char"/>
    <w:basedOn w:val="990"/>
    <w:link w:val="950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952">
    <w:name w:val="Subtitle"/>
    <w:basedOn w:val="988"/>
    <w:next w:val="988"/>
    <w:link w:val="953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953">
    <w:name w:val="Subtitle Char"/>
    <w:basedOn w:val="990"/>
    <w:link w:val="952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954">
    <w:name w:val="Quote"/>
    <w:basedOn w:val="988"/>
    <w:next w:val="988"/>
    <w:link w:val="955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955">
    <w:name w:val="Quote Char"/>
    <w:basedOn w:val="990"/>
    <w:link w:val="954"/>
    <w:uiPriority w:val="29"/>
    <w:pPr>
      <w:pBdr/>
      <w:spacing/>
      <w:ind/>
    </w:pPr>
    <w:rPr>
      <w:i/>
      <w:iCs/>
      <w:color w:val="404040" w:themeColor="text1" w:themeTint="BF"/>
    </w:rPr>
  </w:style>
  <w:style w:type="paragraph" w:styleId="956">
    <w:name w:val="List Paragraph"/>
    <w:basedOn w:val="988"/>
    <w:uiPriority w:val="34"/>
    <w:qFormat/>
    <w:pPr>
      <w:pBdr/>
      <w:spacing/>
      <w:ind w:left="720"/>
      <w:contextualSpacing w:val="true"/>
    </w:pPr>
  </w:style>
  <w:style w:type="character" w:styleId="957">
    <w:name w:val="Intense Emphasis"/>
    <w:basedOn w:val="990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958">
    <w:name w:val="Intense Quote"/>
    <w:basedOn w:val="988"/>
    <w:next w:val="988"/>
    <w:link w:val="959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959">
    <w:name w:val="Intense Quote Char"/>
    <w:basedOn w:val="990"/>
    <w:link w:val="958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960">
    <w:name w:val="Intense Reference"/>
    <w:basedOn w:val="990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961">
    <w:name w:val="No Spacing"/>
    <w:basedOn w:val="988"/>
    <w:uiPriority w:val="1"/>
    <w:qFormat/>
    <w:pPr>
      <w:pBdr/>
      <w:spacing w:after="0" w:line="240" w:lineRule="auto"/>
      <w:ind/>
    </w:pPr>
  </w:style>
  <w:style w:type="character" w:styleId="962">
    <w:name w:val="Subtle Emphasis"/>
    <w:basedOn w:val="990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963">
    <w:name w:val="Emphasis"/>
    <w:basedOn w:val="990"/>
    <w:uiPriority w:val="20"/>
    <w:qFormat/>
    <w:pPr>
      <w:pBdr/>
      <w:spacing/>
      <w:ind/>
    </w:pPr>
    <w:rPr>
      <w:i/>
      <w:iCs/>
    </w:rPr>
  </w:style>
  <w:style w:type="character" w:styleId="964">
    <w:name w:val="Strong"/>
    <w:basedOn w:val="990"/>
    <w:uiPriority w:val="22"/>
    <w:qFormat/>
    <w:pPr>
      <w:pBdr/>
      <w:spacing/>
      <w:ind/>
    </w:pPr>
    <w:rPr>
      <w:b/>
      <w:bCs/>
    </w:rPr>
  </w:style>
  <w:style w:type="character" w:styleId="965">
    <w:name w:val="Subtle Reference"/>
    <w:basedOn w:val="990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966">
    <w:name w:val="Book Title"/>
    <w:basedOn w:val="990"/>
    <w:uiPriority w:val="33"/>
    <w:qFormat/>
    <w:pPr>
      <w:pBdr/>
      <w:spacing/>
      <w:ind/>
    </w:pPr>
    <w:rPr>
      <w:b/>
      <w:bCs/>
      <w:i/>
      <w:iCs/>
      <w:spacing w:val="5"/>
    </w:rPr>
  </w:style>
  <w:style w:type="character" w:styleId="967">
    <w:name w:val="Header Char"/>
    <w:basedOn w:val="990"/>
    <w:link w:val="993"/>
    <w:uiPriority w:val="99"/>
    <w:pPr>
      <w:pBdr/>
      <w:spacing/>
      <w:ind/>
    </w:pPr>
  </w:style>
  <w:style w:type="character" w:styleId="968">
    <w:name w:val="Footer Char"/>
    <w:basedOn w:val="990"/>
    <w:link w:val="995"/>
    <w:uiPriority w:val="99"/>
    <w:pPr>
      <w:pBdr/>
      <w:spacing/>
      <w:ind/>
    </w:pPr>
  </w:style>
  <w:style w:type="paragraph" w:styleId="969">
    <w:name w:val="Caption"/>
    <w:basedOn w:val="988"/>
    <w:next w:val="988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970">
    <w:name w:val="footnote text"/>
    <w:basedOn w:val="988"/>
    <w:link w:val="971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971">
    <w:name w:val="Footnote Text Char"/>
    <w:basedOn w:val="990"/>
    <w:link w:val="970"/>
    <w:uiPriority w:val="99"/>
    <w:semiHidden/>
    <w:pPr>
      <w:pBdr/>
      <w:spacing/>
      <w:ind/>
    </w:pPr>
    <w:rPr>
      <w:sz w:val="20"/>
      <w:szCs w:val="20"/>
    </w:rPr>
  </w:style>
  <w:style w:type="character" w:styleId="972">
    <w:name w:val="footnote reference"/>
    <w:basedOn w:val="990"/>
    <w:uiPriority w:val="99"/>
    <w:semiHidden/>
    <w:unhideWhenUsed/>
    <w:pPr>
      <w:pBdr/>
      <w:spacing/>
      <w:ind/>
    </w:pPr>
    <w:rPr>
      <w:vertAlign w:val="superscript"/>
    </w:rPr>
  </w:style>
  <w:style w:type="character" w:styleId="973">
    <w:name w:val="Endnote Text Char"/>
    <w:basedOn w:val="990"/>
    <w:link w:val="997"/>
    <w:uiPriority w:val="99"/>
    <w:semiHidden/>
    <w:pPr>
      <w:pBdr/>
      <w:spacing/>
      <w:ind/>
    </w:pPr>
    <w:rPr>
      <w:sz w:val="20"/>
      <w:szCs w:val="20"/>
    </w:rPr>
  </w:style>
  <w:style w:type="character" w:styleId="974">
    <w:name w:val="Hyperlink"/>
    <w:basedOn w:val="990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975">
    <w:name w:val="FollowedHyperlink"/>
    <w:basedOn w:val="990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976">
    <w:name w:val="toc 1"/>
    <w:basedOn w:val="988"/>
    <w:next w:val="988"/>
    <w:uiPriority w:val="39"/>
    <w:unhideWhenUsed/>
    <w:pPr>
      <w:pBdr/>
      <w:spacing w:after="100"/>
      <w:ind/>
    </w:pPr>
  </w:style>
  <w:style w:type="paragraph" w:styleId="977">
    <w:name w:val="toc 2"/>
    <w:basedOn w:val="988"/>
    <w:next w:val="988"/>
    <w:uiPriority w:val="39"/>
    <w:unhideWhenUsed/>
    <w:pPr>
      <w:pBdr/>
      <w:spacing w:after="100"/>
      <w:ind w:left="220"/>
    </w:pPr>
  </w:style>
  <w:style w:type="paragraph" w:styleId="978">
    <w:name w:val="toc 3"/>
    <w:basedOn w:val="988"/>
    <w:next w:val="988"/>
    <w:uiPriority w:val="39"/>
    <w:unhideWhenUsed/>
    <w:pPr>
      <w:pBdr/>
      <w:spacing w:after="100"/>
      <w:ind w:left="440"/>
    </w:pPr>
  </w:style>
  <w:style w:type="paragraph" w:styleId="979">
    <w:name w:val="toc 4"/>
    <w:basedOn w:val="988"/>
    <w:next w:val="988"/>
    <w:uiPriority w:val="39"/>
    <w:unhideWhenUsed/>
    <w:pPr>
      <w:pBdr/>
      <w:spacing w:after="100"/>
      <w:ind w:left="660"/>
    </w:pPr>
  </w:style>
  <w:style w:type="paragraph" w:styleId="980">
    <w:name w:val="toc 5"/>
    <w:basedOn w:val="988"/>
    <w:next w:val="988"/>
    <w:uiPriority w:val="39"/>
    <w:unhideWhenUsed/>
    <w:pPr>
      <w:pBdr/>
      <w:spacing w:after="100"/>
      <w:ind w:left="880"/>
    </w:pPr>
  </w:style>
  <w:style w:type="paragraph" w:styleId="981">
    <w:name w:val="toc 6"/>
    <w:basedOn w:val="988"/>
    <w:next w:val="988"/>
    <w:uiPriority w:val="39"/>
    <w:unhideWhenUsed/>
    <w:pPr>
      <w:pBdr/>
      <w:spacing w:after="100"/>
      <w:ind w:left="1100"/>
    </w:pPr>
  </w:style>
  <w:style w:type="paragraph" w:styleId="982">
    <w:name w:val="toc 7"/>
    <w:basedOn w:val="988"/>
    <w:next w:val="988"/>
    <w:uiPriority w:val="39"/>
    <w:unhideWhenUsed/>
    <w:pPr>
      <w:pBdr/>
      <w:spacing w:after="100"/>
      <w:ind w:left="1320"/>
    </w:pPr>
  </w:style>
  <w:style w:type="paragraph" w:styleId="983">
    <w:name w:val="toc 8"/>
    <w:basedOn w:val="988"/>
    <w:next w:val="988"/>
    <w:uiPriority w:val="39"/>
    <w:unhideWhenUsed/>
    <w:pPr>
      <w:pBdr/>
      <w:spacing w:after="100"/>
      <w:ind w:left="1540"/>
    </w:pPr>
  </w:style>
  <w:style w:type="paragraph" w:styleId="984">
    <w:name w:val="toc 9"/>
    <w:basedOn w:val="988"/>
    <w:next w:val="988"/>
    <w:uiPriority w:val="39"/>
    <w:unhideWhenUsed/>
    <w:pPr>
      <w:pBdr/>
      <w:spacing w:after="100"/>
      <w:ind w:left="1760"/>
    </w:pPr>
  </w:style>
  <w:style w:type="character" w:styleId="985">
    <w:name w:val="Placeholder Text"/>
    <w:basedOn w:val="990"/>
    <w:uiPriority w:val="99"/>
    <w:semiHidden/>
    <w:pPr>
      <w:pBdr/>
      <w:spacing/>
      <w:ind/>
    </w:pPr>
    <w:rPr>
      <w:color w:val="666666"/>
    </w:rPr>
  </w:style>
  <w:style w:type="paragraph" w:styleId="986">
    <w:name w:val="TOC Heading"/>
    <w:uiPriority w:val="39"/>
    <w:unhideWhenUsed/>
    <w:pPr>
      <w:pBdr/>
      <w:spacing/>
      <w:ind/>
    </w:pPr>
  </w:style>
  <w:style w:type="paragraph" w:styleId="987">
    <w:name w:val="table of figures"/>
    <w:basedOn w:val="988"/>
    <w:next w:val="988"/>
    <w:uiPriority w:val="99"/>
    <w:unhideWhenUsed/>
    <w:pPr>
      <w:pBdr/>
      <w:spacing w:after="0" w:afterAutospacing="0"/>
      <w:ind/>
    </w:pPr>
  </w:style>
  <w:style w:type="paragraph" w:styleId="988" w:default="1">
    <w:name w:val="Normal"/>
    <w:qFormat/>
    <w:pPr>
      <w:pBdr/>
      <w:spacing/>
      <w:ind/>
    </w:pPr>
  </w:style>
  <w:style w:type="paragraph" w:styleId="989">
    <w:name w:val="Heading 3"/>
    <w:basedOn w:val="988"/>
    <w:link w:val="1000"/>
    <w:uiPriority w:val="9"/>
    <w:qFormat/>
    <w:pPr>
      <w:pBdr/>
      <w:spacing w:after="100" w:afterAutospacing="1" w:before="100" w:beforeAutospacing="1" w:line="240" w:lineRule="auto"/>
      <w:ind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es-ES"/>
    </w:rPr>
  </w:style>
  <w:style w:type="character" w:styleId="990" w:default="1">
    <w:name w:val="Default Paragraph Font"/>
    <w:uiPriority w:val="1"/>
    <w:semiHidden/>
    <w:unhideWhenUsed/>
    <w:pPr>
      <w:pBdr/>
      <w:spacing/>
      <w:ind/>
    </w:pPr>
  </w:style>
  <w:style w:type="table" w:styleId="991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992" w:default="1">
    <w:name w:val="No List"/>
    <w:uiPriority w:val="99"/>
    <w:semiHidden/>
    <w:unhideWhenUsed/>
    <w:pPr>
      <w:pBdr/>
      <w:spacing/>
      <w:ind/>
    </w:pPr>
  </w:style>
  <w:style w:type="paragraph" w:styleId="993">
    <w:name w:val="Header"/>
    <w:basedOn w:val="988"/>
    <w:link w:val="994"/>
    <w:uiPriority w:val="99"/>
    <w:unhideWhenUsed/>
    <w:pPr>
      <w:pBdr/>
      <w:tabs>
        <w:tab w:val="center" w:leader="none" w:pos="4252"/>
        <w:tab w:val="right" w:leader="none" w:pos="8504"/>
      </w:tabs>
      <w:spacing w:after="0" w:line="240" w:lineRule="auto"/>
      <w:ind/>
    </w:pPr>
  </w:style>
  <w:style w:type="character" w:styleId="994" w:customStyle="1">
    <w:name w:val="Encabezado Car"/>
    <w:basedOn w:val="990"/>
    <w:link w:val="993"/>
    <w:uiPriority w:val="99"/>
    <w:pPr>
      <w:pBdr/>
      <w:spacing/>
      <w:ind/>
    </w:pPr>
  </w:style>
  <w:style w:type="paragraph" w:styleId="995">
    <w:name w:val="Footer"/>
    <w:basedOn w:val="988"/>
    <w:link w:val="996"/>
    <w:uiPriority w:val="99"/>
    <w:unhideWhenUsed/>
    <w:pPr>
      <w:pBdr/>
      <w:tabs>
        <w:tab w:val="center" w:leader="none" w:pos="4252"/>
        <w:tab w:val="right" w:leader="none" w:pos="8504"/>
      </w:tabs>
      <w:spacing w:after="0" w:line="240" w:lineRule="auto"/>
      <w:ind/>
    </w:pPr>
  </w:style>
  <w:style w:type="character" w:styleId="996" w:customStyle="1">
    <w:name w:val="Pie de página Car"/>
    <w:basedOn w:val="990"/>
    <w:link w:val="995"/>
    <w:uiPriority w:val="99"/>
    <w:pPr>
      <w:pBdr/>
      <w:spacing/>
      <w:ind/>
    </w:pPr>
  </w:style>
  <w:style w:type="paragraph" w:styleId="997">
    <w:name w:val="endnote text"/>
    <w:basedOn w:val="988"/>
    <w:link w:val="998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998" w:customStyle="1">
    <w:name w:val="Texto nota al final Car"/>
    <w:basedOn w:val="990"/>
    <w:link w:val="997"/>
    <w:uiPriority w:val="99"/>
    <w:semiHidden/>
    <w:pPr>
      <w:pBdr/>
      <w:spacing/>
      <w:ind/>
    </w:pPr>
    <w:rPr>
      <w:sz w:val="20"/>
      <w:szCs w:val="20"/>
    </w:rPr>
  </w:style>
  <w:style w:type="character" w:styleId="999">
    <w:name w:val="endnote reference"/>
    <w:basedOn w:val="990"/>
    <w:uiPriority w:val="99"/>
    <w:semiHidden/>
    <w:unhideWhenUsed/>
    <w:pPr>
      <w:pBdr/>
      <w:spacing/>
      <w:ind/>
    </w:pPr>
    <w:rPr>
      <w:vertAlign w:val="superscript"/>
    </w:rPr>
  </w:style>
  <w:style w:type="character" w:styleId="1000" w:customStyle="1">
    <w:name w:val="Título 3 Car"/>
    <w:basedOn w:val="990"/>
    <w:link w:val="989"/>
    <w:uiPriority w:val="9"/>
    <w:pPr>
      <w:pBdr/>
      <w:spacing/>
      <w:ind/>
    </w:pPr>
    <w:rPr>
      <w:rFonts w:ascii="Times New Roman" w:hAnsi="Times New Roman" w:eastAsia="Times New Roman" w:cs="Times New Roman"/>
      <w:b/>
      <w:bCs/>
      <w:sz w:val="27"/>
      <w:szCs w:val="27"/>
      <w:lang w:eastAsia="es-ES"/>
    </w:rPr>
  </w:style>
  <w:style w:type="paragraph" w:styleId="1001">
    <w:name w:val="Normal (Web)"/>
    <w:basedOn w:val="988"/>
    <w:uiPriority w:val="99"/>
    <w:semiHidden/>
    <w:unhideWhenUsed/>
    <w:pPr>
      <w:pBdr/>
      <w:spacing w:after="100" w:afterAutospacing="1" w:before="100" w:beforeAutospacing="1" w:line="240" w:lineRule="auto"/>
      <w:ind/>
    </w:pPr>
    <w:rPr>
      <w:rFonts w:ascii="Times New Roman" w:hAnsi="Times New Roman" w:eastAsia="Times New Roman" w:cs="Times New Roman"/>
      <w:sz w:val="24"/>
      <w:szCs w:val="24"/>
      <w:lang w:eastAsia="es-ES"/>
    </w:rPr>
  </w:style>
  <w:style w:type="paragraph" w:styleId="1002">
    <w:name w:val="Balloon Text"/>
    <w:basedOn w:val="988"/>
    <w:link w:val="1003"/>
    <w:uiPriority w:val="99"/>
    <w:semiHidden/>
    <w:unhideWhenUsed/>
    <w:pPr>
      <w:pBdr/>
      <w:spacing w:after="0" w:line="240" w:lineRule="auto"/>
      <w:ind/>
    </w:pPr>
    <w:rPr>
      <w:rFonts w:ascii="Tahoma" w:hAnsi="Tahoma" w:cs="Tahoma"/>
      <w:sz w:val="16"/>
      <w:szCs w:val="16"/>
    </w:rPr>
  </w:style>
  <w:style w:type="character" w:styleId="1003" w:customStyle="1">
    <w:name w:val="Texto de globo Car"/>
    <w:basedOn w:val="990"/>
    <w:link w:val="1002"/>
    <w:uiPriority w:val="99"/>
    <w:semiHidden/>
    <w:pPr>
      <w:pBdr/>
      <w:spacing/>
      <w:ind/>
    </w:pPr>
    <w:rPr>
      <w:rFonts w:ascii="Tahoma" w:hAnsi="Tahoma" w:cs="Tahoma"/>
      <w:sz w:val="16"/>
      <w:szCs w:val="16"/>
    </w:rPr>
  </w:style>
  <w:style w:type="paragraph" w:styleId="1004" w:customStyle="1">
    <w:name w:val="Cabecera y pie"/>
    <w:pPr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tabs>
        <w:tab w:val="right" w:leader="none" w:pos="9020"/>
      </w:tabs>
      <w:spacing w:after="0" w:line="240" w:lineRule="auto"/>
      <w:ind/>
    </w:pPr>
    <w:rPr>
      <w:rFonts w:ascii="Helvetica Neue" w:hAnsi="Helvetica Neue" w:eastAsia="Arial Unicode MS" w:cs="Arial Unicode MS"/>
      <w:color w:val="000000"/>
      <w:sz w:val="24"/>
      <w:szCs w:val="24"/>
      <w:lang w:eastAsia="es-ES"/>
      <w14:textOutline w14:w="0" w14:cap="flat" w14:cmpd="sng" w14:algn="ctr">
        <w14:noFill/>
        <w14:prstDash w14:val="solid"/>
        <w14:bevel/>
      </w14:textOutline>
    </w:rPr>
  </w:style>
  <w:style w:type="character" w:styleId="1005" w:customStyle="1">
    <w:name w:val="Ninguno"/>
    <w:pPr>
      <w:pBdr/>
      <w:spacing/>
      <w:ind/>
    </w:pPr>
    <w:rPr>
      <w:lang w:val="es-ES_tradnl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header" Target="header2.xml" /><Relationship Id="rId11" Type="http://schemas.openxmlformats.org/officeDocument/2006/relationships/header" Target="header3.xml" /><Relationship Id="rId12" Type="http://schemas.openxmlformats.org/officeDocument/2006/relationships/footer" Target="footer1.xml" /><Relationship Id="rId13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FB922C-4740-4FD8-B199-2FAAA58784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Application>ONLYOFFICE/9.0.4.50</Application>
  <DocSecurity>0</DocSecurity>
  <ScaleCrop>0</ScaleCrop>
  <HeadingPairs>
    <vt:vector size="0" baseType="variant"/>
  </HeadingPairs>
  <TitlesOfParts>
    <vt:vector size="0" baseType="lpstr"/>
  </TitlesOfParts>
  <Company/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revision>4</cp:revision>
  <dcterms:created xsi:type="dcterms:W3CDTF">2025-06-09T06:39:00Z</dcterms:created>
  <dcterms:modified xsi:type="dcterms:W3CDTF">2025-11-17T11:46:44Z</dcterms:modified>
</cp:coreProperties>
</file>